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2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990"/>
        <w:gridCol w:w="1260"/>
        <w:gridCol w:w="3827"/>
      </w:tblGrid>
      <w:tr w:rsidR="00A04FD9" w:rsidTr="00153991">
        <w:trPr>
          <w:jc w:val="center"/>
        </w:trPr>
        <w:tc>
          <w:tcPr>
            <w:tcW w:w="5177" w:type="dxa"/>
            <w:shd w:val="clear" w:color="auto" w:fill="DBE5F1" w:themeFill="accent1" w:themeFillTint="33"/>
            <w:vAlign w:val="bottom"/>
          </w:tcPr>
          <w:p w:rsidR="00A04FD9" w:rsidRDefault="00153991" w:rsidP="00E6766D">
            <w:pPr>
              <w:pStyle w:val="Heading3"/>
              <w:spacing w:before="120"/>
            </w:pPr>
            <w:r>
              <w:t>Indicator:  Access</w:t>
            </w:r>
          </w:p>
        </w:tc>
        <w:tc>
          <w:tcPr>
            <w:tcW w:w="6077" w:type="dxa"/>
            <w:gridSpan w:val="3"/>
            <w:shd w:val="clear" w:color="auto" w:fill="DBE5F1" w:themeFill="accent1" w:themeFillTint="33"/>
            <w:vAlign w:val="bottom"/>
          </w:tcPr>
          <w:p w:rsidR="00A04FD9" w:rsidRDefault="00A04FD9" w:rsidP="006B7119">
            <w:pPr>
              <w:pStyle w:val="Heading3"/>
              <w:spacing w:before="120"/>
            </w:pPr>
            <w:r>
              <w:t>Campus Based Research</w:t>
            </w:r>
          </w:p>
        </w:tc>
      </w:tr>
      <w:tr w:rsidR="00A04FD9" w:rsidTr="00153991">
        <w:trPr>
          <w:jc w:val="center"/>
        </w:trPr>
        <w:tc>
          <w:tcPr>
            <w:tcW w:w="5177" w:type="dxa"/>
            <w:tcBorders>
              <w:bottom w:val="single" w:sz="4" w:space="0" w:color="808080" w:themeColor="background1" w:themeShade="80"/>
            </w:tcBorders>
          </w:tcPr>
          <w:p w:rsidR="00A04FD9" w:rsidRPr="002D59B4" w:rsidRDefault="002D59B4" w:rsidP="002D59B4">
            <w:pPr>
              <w:pStyle w:val="Header"/>
              <w:tabs>
                <w:tab w:val="clear" w:pos="4320"/>
                <w:tab w:val="clear" w:pos="8640"/>
              </w:tabs>
              <w:rPr>
                <w:rFonts w:asciiTheme="minorHAnsi" w:hAnsiTheme="minorHAnsi"/>
                <w:i/>
                <w:iCs/>
                <w:sz w:val="22"/>
              </w:rPr>
            </w:pPr>
            <w:r w:rsidRPr="002D59B4">
              <w:rPr>
                <w:rFonts w:asciiTheme="minorHAnsi" w:hAnsiTheme="minorHAnsi"/>
                <w:iCs/>
                <w:sz w:val="20"/>
              </w:rPr>
              <w:t>Compare the percentage of each population group that is enrolled to the percentage of each group in the adult population within the community served.</w:t>
            </w:r>
          </w:p>
        </w:tc>
        <w:tc>
          <w:tcPr>
            <w:tcW w:w="6077" w:type="dxa"/>
            <w:gridSpan w:val="3"/>
            <w:tcBorders>
              <w:bottom w:val="single" w:sz="4" w:space="0" w:color="808080" w:themeColor="background1" w:themeShade="80"/>
            </w:tcBorders>
          </w:tcPr>
          <w:p w:rsidR="00A04FD9" w:rsidRPr="00E6766D" w:rsidRDefault="00D75714" w:rsidP="00D75714">
            <w:pPr>
              <w:spacing w:after="120"/>
              <w:ind w:left="58"/>
              <w:rPr>
                <w:sz w:val="20"/>
                <w:szCs w:val="20"/>
              </w:rPr>
            </w:pPr>
            <w:r>
              <w:rPr>
                <w:sz w:val="20"/>
                <w:szCs w:val="20"/>
              </w:rPr>
              <w:t>The data indicate that the race and ethnicity of our student population closely mirrors the race and ethnicity of the college’s service area.</w:t>
            </w:r>
          </w:p>
        </w:tc>
      </w:tr>
      <w:tr w:rsidR="00A04FD9" w:rsidTr="00153991">
        <w:trPr>
          <w:jc w:val="center"/>
        </w:trPr>
        <w:tc>
          <w:tcPr>
            <w:tcW w:w="5177" w:type="dxa"/>
            <w:shd w:val="clear" w:color="auto" w:fill="DBE5F1" w:themeFill="accent1" w:themeFillTint="33"/>
            <w:vAlign w:val="bottom"/>
          </w:tcPr>
          <w:p w:rsidR="00A04FD9" w:rsidRDefault="00A04FD9" w:rsidP="00E6766D">
            <w:pPr>
              <w:pStyle w:val="Heading3"/>
              <w:spacing w:before="120"/>
            </w:pPr>
            <w:r>
              <w:t>Goals</w:t>
            </w:r>
          </w:p>
        </w:tc>
        <w:tc>
          <w:tcPr>
            <w:tcW w:w="6077" w:type="dxa"/>
            <w:gridSpan w:val="3"/>
            <w:shd w:val="clear" w:color="auto" w:fill="DBE5F1" w:themeFill="accent1" w:themeFillTint="33"/>
            <w:vAlign w:val="bottom"/>
          </w:tcPr>
          <w:p w:rsidR="00A04FD9" w:rsidRDefault="00A04FD9" w:rsidP="00E6766D">
            <w:pPr>
              <w:pStyle w:val="Heading3"/>
              <w:spacing w:before="120"/>
            </w:pPr>
            <w:r>
              <w:t>Desired Outcomes</w:t>
            </w:r>
          </w:p>
        </w:tc>
      </w:tr>
      <w:tr w:rsidR="00A04FD9" w:rsidTr="00153991">
        <w:trPr>
          <w:jc w:val="center"/>
        </w:trPr>
        <w:tc>
          <w:tcPr>
            <w:tcW w:w="5177" w:type="dxa"/>
            <w:tcBorders>
              <w:bottom w:val="single" w:sz="4" w:space="0" w:color="808080" w:themeColor="background1" w:themeShade="80"/>
            </w:tcBorders>
          </w:tcPr>
          <w:p w:rsidR="00A04FD9" w:rsidRPr="00F6128E" w:rsidRDefault="00A04FD9" w:rsidP="002D59B4">
            <w:pPr>
              <w:pStyle w:val="ListParagraph"/>
              <w:numPr>
                <w:ilvl w:val="0"/>
                <w:numId w:val="2"/>
              </w:numPr>
              <w:spacing w:after="120"/>
              <w:ind w:left="436"/>
              <w:contextualSpacing w:val="0"/>
              <w:rPr>
                <w:sz w:val="20"/>
                <w:szCs w:val="20"/>
              </w:rPr>
            </w:pPr>
            <w:r w:rsidRPr="00F6128E">
              <w:rPr>
                <w:sz w:val="20"/>
                <w:szCs w:val="20"/>
              </w:rPr>
              <w:t>To identify barriers that affect how different Student Populations access the various services across the campus.</w:t>
            </w:r>
          </w:p>
          <w:p w:rsidR="00A04FD9" w:rsidRPr="00F6128E" w:rsidRDefault="00A04FD9" w:rsidP="002D59B4">
            <w:pPr>
              <w:pStyle w:val="ListParagraph"/>
              <w:numPr>
                <w:ilvl w:val="0"/>
                <w:numId w:val="2"/>
              </w:numPr>
              <w:spacing w:after="120"/>
              <w:ind w:left="436"/>
              <w:contextualSpacing w:val="0"/>
              <w:rPr>
                <w:sz w:val="20"/>
                <w:szCs w:val="20"/>
              </w:rPr>
            </w:pPr>
            <w:r w:rsidRPr="00F6128E">
              <w:rPr>
                <w:rFonts w:cs="Times New Roman"/>
                <w:sz w:val="20"/>
                <w:szCs w:val="20"/>
              </w:rPr>
              <w:t>Raise student engagement and grow campus culture of welcome and support.</w:t>
            </w:r>
          </w:p>
          <w:p w:rsidR="00A04FD9" w:rsidRPr="00F6128E" w:rsidRDefault="00A04FD9" w:rsidP="002D59B4">
            <w:pPr>
              <w:pStyle w:val="ListParagraph"/>
              <w:numPr>
                <w:ilvl w:val="0"/>
                <w:numId w:val="2"/>
              </w:numPr>
              <w:spacing w:after="120"/>
              <w:ind w:left="436"/>
              <w:contextualSpacing w:val="0"/>
              <w:rPr>
                <w:sz w:val="20"/>
                <w:szCs w:val="20"/>
              </w:rPr>
            </w:pPr>
            <w:r w:rsidRPr="00F6128E">
              <w:rPr>
                <w:sz w:val="20"/>
                <w:szCs w:val="20"/>
              </w:rPr>
              <w:t>To minimize barriers that affect how former Foster Youth students access the various services and benefits available to them across campus.</w:t>
            </w:r>
          </w:p>
          <w:p w:rsidR="00A04FD9" w:rsidRPr="00F6128E" w:rsidRDefault="00A04FD9" w:rsidP="003D33D0">
            <w:pPr>
              <w:spacing w:after="120"/>
              <w:rPr>
                <w:sz w:val="20"/>
                <w:szCs w:val="20"/>
              </w:rPr>
            </w:pPr>
          </w:p>
        </w:tc>
        <w:tc>
          <w:tcPr>
            <w:tcW w:w="6077" w:type="dxa"/>
            <w:gridSpan w:val="3"/>
            <w:tcBorders>
              <w:bottom w:val="single" w:sz="4" w:space="0" w:color="808080" w:themeColor="background1" w:themeShade="80"/>
            </w:tcBorders>
          </w:tcPr>
          <w:p w:rsidR="00A04FD9" w:rsidRPr="00F6128E" w:rsidRDefault="00A04FD9" w:rsidP="003D33D0">
            <w:pPr>
              <w:pStyle w:val="ListParagraph"/>
              <w:numPr>
                <w:ilvl w:val="0"/>
                <w:numId w:val="1"/>
              </w:numPr>
              <w:spacing w:after="120"/>
              <w:ind w:left="187" w:hanging="187"/>
              <w:contextualSpacing w:val="0"/>
              <w:rPr>
                <w:sz w:val="20"/>
                <w:szCs w:val="20"/>
              </w:rPr>
            </w:pPr>
            <w:r w:rsidRPr="00F6128E">
              <w:rPr>
                <w:sz w:val="20"/>
                <w:szCs w:val="20"/>
              </w:rPr>
              <w:t>Moorpark College faculty and staff will have an improved understanding of the participation rates in our student service areas, and will identify potential barriers for success, as reported by our 2013-14 students completing the CCSSE and SENSE survey.</w:t>
            </w:r>
          </w:p>
          <w:p w:rsidR="00A04FD9" w:rsidRPr="00F6128E" w:rsidRDefault="00A04FD9" w:rsidP="003D33D0">
            <w:pPr>
              <w:pStyle w:val="ListParagraph"/>
              <w:numPr>
                <w:ilvl w:val="0"/>
                <w:numId w:val="1"/>
              </w:numPr>
              <w:spacing w:after="120"/>
              <w:ind w:left="187" w:hanging="187"/>
              <w:contextualSpacing w:val="0"/>
              <w:rPr>
                <w:sz w:val="20"/>
                <w:szCs w:val="20"/>
              </w:rPr>
            </w:pPr>
            <w:r w:rsidRPr="00F6128E">
              <w:rPr>
                <w:sz w:val="20"/>
                <w:szCs w:val="20"/>
              </w:rPr>
              <w:t>Moorpark College faculty and staff will have a better understanding of the potential barriers and difficulties that former foster youth face when entering college.</w:t>
            </w:r>
          </w:p>
          <w:p w:rsidR="00A04FD9" w:rsidRPr="00F6128E" w:rsidRDefault="00A04FD9" w:rsidP="003D33D0">
            <w:pPr>
              <w:pStyle w:val="ListParagraph"/>
              <w:numPr>
                <w:ilvl w:val="0"/>
                <w:numId w:val="1"/>
              </w:numPr>
              <w:spacing w:after="120"/>
              <w:ind w:left="187" w:hanging="187"/>
              <w:contextualSpacing w:val="0"/>
              <w:rPr>
                <w:sz w:val="20"/>
                <w:szCs w:val="20"/>
              </w:rPr>
            </w:pPr>
            <w:r w:rsidRPr="00F6128E">
              <w:rPr>
                <w:sz w:val="20"/>
                <w:szCs w:val="20"/>
              </w:rPr>
              <w:t>Moorpark College will expand outreach effort to all students, with special focus on student engagement and support for target student populations.</w:t>
            </w:r>
          </w:p>
          <w:p w:rsidR="00A04FD9" w:rsidRPr="00F6128E" w:rsidRDefault="00A04FD9" w:rsidP="003D33D0">
            <w:pPr>
              <w:pStyle w:val="ListParagraph"/>
              <w:numPr>
                <w:ilvl w:val="0"/>
                <w:numId w:val="1"/>
              </w:numPr>
              <w:spacing w:after="120"/>
              <w:ind w:left="187" w:hanging="187"/>
              <w:contextualSpacing w:val="0"/>
              <w:rPr>
                <w:sz w:val="20"/>
                <w:szCs w:val="20"/>
              </w:rPr>
            </w:pPr>
            <w:r w:rsidRPr="00F6128E">
              <w:rPr>
                <w:sz w:val="20"/>
                <w:szCs w:val="20"/>
              </w:rPr>
              <w:t>Foster parents and foster youth will successfully navigate the enrollment processes and connect with key service areas and staff, helping them to successfully enroll in college courses.</w:t>
            </w:r>
          </w:p>
          <w:p w:rsidR="00A04FD9" w:rsidRPr="00F6128E" w:rsidRDefault="00A04FD9" w:rsidP="003D33D0">
            <w:pPr>
              <w:pStyle w:val="ListParagraph"/>
              <w:numPr>
                <w:ilvl w:val="0"/>
                <w:numId w:val="1"/>
              </w:numPr>
              <w:spacing w:after="120"/>
              <w:ind w:left="187" w:hanging="187"/>
              <w:contextualSpacing w:val="0"/>
              <w:rPr>
                <w:sz w:val="20"/>
                <w:szCs w:val="20"/>
              </w:rPr>
            </w:pPr>
            <w:r w:rsidRPr="00F6128E">
              <w:rPr>
                <w:sz w:val="20"/>
                <w:szCs w:val="20"/>
              </w:rPr>
              <w:t>70% of identified foster youth will utilize at least two services/benefits available to them.</w:t>
            </w:r>
          </w:p>
        </w:tc>
      </w:tr>
      <w:tr w:rsidR="00A04FD9" w:rsidTr="00D75714">
        <w:trPr>
          <w:jc w:val="center"/>
        </w:trPr>
        <w:tc>
          <w:tcPr>
            <w:tcW w:w="6167" w:type="dxa"/>
            <w:gridSpan w:val="2"/>
            <w:tcBorders>
              <w:bottom w:val="single" w:sz="4" w:space="0" w:color="808080" w:themeColor="background1" w:themeShade="80"/>
              <w:right w:val="nil"/>
            </w:tcBorders>
            <w:shd w:val="clear" w:color="auto" w:fill="DBE5F1" w:themeFill="accent1" w:themeFillTint="33"/>
            <w:vAlign w:val="bottom"/>
          </w:tcPr>
          <w:p w:rsidR="00A04FD9" w:rsidRDefault="00A04FD9" w:rsidP="00F77F14">
            <w:pPr>
              <w:pStyle w:val="Heading3"/>
              <w:spacing w:before="120"/>
            </w:pPr>
            <w:r>
              <w:t>Activities from Equity Plan</w:t>
            </w:r>
          </w:p>
        </w:tc>
        <w:tc>
          <w:tcPr>
            <w:tcW w:w="1260" w:type="dxa"/>
            <w:tcBorders>
              <w:left w:val="nil"/>
              <w:bottom w:val="single" w:sz="4" w:space="0" w:color="808080" w:themeColor="background1" w:themeShade="80"/>
              <w:right w:val="nil"/>
            </w:tcBorders>
            <w:shd w:val="clear" w:color="auto" w:fill="DBE5F1" w:themeFill="accent1" w:themeFillTint="33"/>
            <w:vAlign w:val="bottom"/>
          </w:tcPr>
          <w:p w:rsidR="00A04FD9" w:rsidRDefault="003D33D0" w:rsidP="00F77F14">
            <w:pPr>
              <w:pStyle w:val="Heading3"/>
              <w:spacing w:before="120"/>
            </w:pPr>
            <w:r>
              <w:t>Timeline</w:t>
            </w:r>
          </w:p>
        </w:tc>
        <w:tc>
          <w:tcPr>
            <w:tcW w:w="3827" w:type="dxa"/>
            <w:tcBorders>
              <w:left w:val="nil"/>
              <w:bottom w:val="single" w:sz="4" w:space="0" w:color="808080" w:themeColor="background1" w:themeShade="80"/>
            </w:tcBorders>
            <w:shd w:val="clear" w:color="auto" w:fill="DBE5F1" w:themeFill="accent1" w:themeFillTint="33"/>
            <w:vAlign w:val="bottom"/>
          </w:tcPr>
          <w:p w:rsidR="00A04FD9" w:rsidRDefault="003D33D0" w:rsidP="00A04FD9">
            <w:pPr>
              <w:pStyle w:val="Heading3"/>
              <w:spacing w:before="120"/>
            </w:pPr>
            <w:r>
              <w:t>Responsible Party</w:t>
            </w:r>
          </w:p>
        </w:tc>
      </w:tr>
      <w:tr w:rsidR="00C52596" w:rsidRPr="00F6128E" w:rsidTr="00D75714">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C52596" w:rsidRPr="003D33D0" w:rsidRDefault="00C52596" w:rsidP="00C52596">
            <w:pPr>
              <w:spacing w:after="120"/>
              <w:rPr>
                <w:rFonts w:ascii="Calibri" w:hAnsi="Calibri"/>
                <w:sz w:val="20"/>
                <w:szCs w:val="20"/>
              </w:rPr>
            </w:pPr>
            <w:r w:rsidRPr="003D33D0">
              <w:rPr>
                <w:rFonts w:cs="Times New Roman"/>
                <w:sz w:val="20"/>
                <w:szCs w:val="20"/>
              </w:rPr>
              <w:t>Present and discuss the 2013-14 CCSSE and SENSE survey results to determine if there are any service areas that specific student populations do not use at the same rate as other student populations.</w:t>
            </w:r>
            <w:r>
              <w:rPr>
                <w:rFonts w:cs="Times New Roman"/>
                <w:sz w:val="20"/>
                <w:szCs w:val="20"/>
              </w:rPr>
              <w:t xml:space="preserve"> (G-1)</w:t>
            </w:r>
          </w:p>
        </w:tc>
        <w:tc>
          <w:tcPr>
            <w:tcW w:w="1260" w:type="dxa"/>
            <w:tcBorders>
              <w:top w:val="single" w:sz="4" w:space="0" w:color="808080" w:themeColor="background1" w:themeShade="80"/>
              <w:left w:val="nil"/>
              <w:bottom w:val="nil"/>
              <w:right w:val="nil"/>
            </w:tcBorders>
          </w:tcPr>
          <w:p w:rsidR="00C52596" w:rsidRPr="003D33D0" w:rsidRDefault="00C52596" w:rsidP="00C52596">
            <w:pPr>
              <w:spacing w:after="120"/>
              <w:rPr>
                <w:rFonts w:cs="Times New Roman"/>
                <w:sz w:val="20"/>
                <w:szCs w:val="20"/>
              </w:rPr>
            </w:pPr>
            <w:r w:rsidRPr="003D33D0">
              <w:rPr>
                <w:rFonts w:cs="Times New Roman"/>
                <w:sz w:val="20"/>
                <w:szCs w:val="20"/>
              </w:rPr>
              <w:t>Year 1:</w:t>
            </w:r>
            <w:r>
              <w:rPr>
                <w:rFonts w:cs="Times New Roman"/>
                <w:sz w:val="20"/>
                <w:szCs w:val="20"/>
              </w:rPr>
              <w:br/>
            </w:r>
            <w:r w:rsidRPr="003D33D0">
              <w:rPr>
                <w:rFonts w:cs="Times New Roman"/>
                <w:sz w:val="20"/>
                <w:szCs w:val="20"/>
              </w:rPr>
              <w:t>2014-2015</w:t>
            </w:r>
          </w:p>
        </w:tc>
        <w:tc>
          <w:tcPr>
            <w:tcW w:w="3827" w:type="dxa"/>
            <w:tcBorders>
              <w:top w:val="single" w:sz="4" w:space="0" w:color="808080" w:themeColor="background1" w:themeShade="80"/>
              <w:left w:val="nil"/>
              <w:bottom w:val="nil"/>
              <w:right w:val="single" w:sz="4" w:space="0" w:color="808080" w:themeColor="background1" w:themeShade="80"/>
            </w:tcBorders>
          </w:tcPr>
          <w:p w:rsidR="00C52596" w:rsidRPr="003D33D0" w:rsidRDefault="00C52596" w:rsidP="00C52596">
            <w:pPr>
              <w:spacing w:after="120"/>
              <w:rPr>
                <w:rFonts w:cs="Times New Roman"/>
                <w:sz w:val="20"/>
                <w:szCs w:val="20"/>
              </w:rPr>
            </w:pPr>
            <w:r w:rsidRPr="003D33D0">
              <w:rPr>
                <w:rFonts w:cs="Times New Roman"/>
                <w:sz w:val="20"/>
                <w:szCs w:val="20"/>
              </w:rPr>
              <w:t>Office of Student Learning, Office of Institutional Research, Student Services Council</w:t>
            </w:r>
          </w:p>
        </w:tc>
      </w:tr>
      <w:tr w:rsidR="00C52596" w:rsidRPr="002D59B4" w:rsidTr="00D75714">
        <w:trPr>
          <w:jc w:val="center"/>
        </w:trPr>
        <w:tc>
          <w:tcPr>
            <w:tcW w:w="6167" w:type="dxa"/>
            <w:gridSpan w:val="2"/>
            <w:tcBorders>
              <w:top w:val="nil"/>
              <w:left w:val="single" w:sz="4" w:space="0" w:color="808080" w:themeColor="background1" w:themeShade="80"/>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Develop and send “Welcome to the Moorpark College Family” letter/email that will be sent to all new college applicants.</w:t>
            </w:r>
            <w:r>
              <w:rPr>
                <w:rFonts w:cs="Times New Roman"/>
                <w:sz w:val="20"/>
                <w:szCs w:val="20"/>
              </w:rPr>
              <w:t xml:space="preserve"> (G-2)</w:t>
            </w:r>
          </w:p>
        </w:tc>
        <w:tc>
          <w:tcPr>
            <w:tcW w:w="1260" w:type="dxa"/>
            <w:tcBorders>
              <w:top w:val="nil"/>
              <w:left w:val="nil"/>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1:</w:t>
            </w:r>
            <w:r w:rsidR="00E47F23">
              <w:rPr>
                <w:rFonts w:cs="Times New Roman"/>
                <w:sz w:val="20"/>
                <w:szCs w:val="20"/>
              </w:rPr>
              <w:br/>
              <w:t>2</w:t>
            </w:r>
            <w:r w:rsidRPr="002D59B4">
              <w:rPr>
                <w:rFonts w:cs="Times New Roman"/>
                <w:sz w:val="20"/>
                <w:szCs w:val="20"/>
              </w:rPr>
              <w:t>014-2015</w:t>
            </w:r>
          </w:p>
        </w:tc>
        <w:tc>
          <w:tcPr>
            <w:tcW w:w="3827" w:type="dxa"/>
            <w:tcBorders>
              <w:top w:val="nil"/>
              <w:left w:val="nil"/>
              <w:bottom w:val="nil"/>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Outreach, Dean, Registrar</w:t>
            </w:r>
          </w:p>
        </w:tc>
      </w:tr>
      <w:tr w:rsidR="00C52596" w:rsidRPr="002D59B4" w:rsidTr="00D75714">
        <w:trPr>
          <w:jc w:val="center"/>
        </w:trPr>
        <w:tc>
          <w:tcPr>
            <w:tcW w:w="6167" w:type="dxa"/>
            <w:gridSpan w:val="2"/>
            <w:tcBorders>
              <w:top w:val="nil"/>
              <w:left w:val="single" w:sz="4" w:space="0" w:color="808080" w:themeColor="background1" w:themeShade="80"/>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Keynote Speaker will address faculty and staff, providing information and guidance in regards to assisting former foster youth</w:t>
            </w:r>
            <w:r>
              <w:rPr>
                <w:rFonts w:cs="Times New Roman"/>
                <w:sz w:val="20"/>
                <w:szCs w:val="20"/>
              </w:rPr>
              <w:t>. (G-3)</w:t>
            </w:r>
          </w:p>
        </w:tc>
        <w:tc>
          <w:tcPr>
            <w:tcW w:w="1260" w:type="dxa"/>
            <w:tcBorders>
              <w:top w:val="nil"/>
              <w:left w:val="nil"/>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1:</w:t>
            </w:r>
            <w:r w:rsidR="00E47F23">
              <w:rPr>
                <w:rFonts w:cs="Times New Roman"/>
                <w:sz w:val="20"/>
                <w:szCs w:val="20"/>
              </w:rPr>
              <w:br/>
            </w:r>
            <w:r w:rsidRPr="002D59B4">
              <w:rPr>
                <w:rFonts w:cs="Times New Roman"/>
                <w:sz w:val="20"/>
                <w:szCs w:val="20"/>
              </w:rPr>
              <w:t>2014-2015</w:t>
            </w:r>
          </w:p>
        </w:tc>
        <w:tc>
          <w:tcPr>
            <w:tcW w:w="3827" w:type="dxa"/>
            <w:tcBorders>
              <w:top w:val="nil"/>
              <w:left w:val="nil"/>
              <w:bottom w:val="nil"/>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Former Foster Youth Task Force</w:t>
            </w:r>
          </w:p>
        </w:tc>
      </w:tr>
      <w:tr w:rsidR="00C52596" w:rsidRPr="002D59B4" w:rsidTr="00D75714">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C52596" w:rsidRPr="00C52596" w:rsidRDefault="00C52596" w:rsidP="00C52596">
            <w:pPr>
              <w:spacing w:after="120"/>
            </w:pPr>
            <w:r w:rsidRPr="002D59B4">
              <w:rPr>
                <w:rFonts w:cs="Times New Roman"/>
                <w:sz w:val="20"/>
                <w:szCs w:val="20"/>
              </w:rPr>
              <w:t>Campus will hold information sessions designed for foster parents and foster youth, helping these families to better navigate the college processes</w:t>
            </w:r>
            <w:r>
              <w:rPr>
                <w:rFonts w:cs="Times New Roman"/>
                <w:sz w:val="20"/>
                <w:szCs w:val="20"/>
              </w:rPr>
              <w:t>. (G-3)</w:t>
            </w:r>
          </w:p>
        </w:tc>
        <w:tc>
          <w:tcPr>
            <w:tcW w:w="1260" w:type="dxa"/>
            <w:tcBorders>
              <w:top w:val="nil"/>
              <w:left w:val="nil"/>
              <w:bottom w:val="single" w:sz="4" w:space="0" w:color="808080" w:themeColor="background1" w:themeShade="80"/>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1:</w:t>
            </w:r>
            <w:r w:rsidR="00E47F23">
              <w:rPr>
                <w:rFonts w:cs="Times New Roman"/>
                <w:sz w:val="20"/>
                <w:szCs w:val="20"/>
              </w:rPr>
              <w:br/>
            </w:r>
            <w:r w:rsidRPr="002D59B4">
              <w:rPr>
                <w:rFonts w:cs="Times New Roman"/>
                <w:sz w:val="20"/>
                <w:szCs w:val="20"/>
              </w:rPr>
              <w:t>2014-2015</w:t>
            </w:r>
          </w:p>
        </w:tc>
        <w:tc>
          <w:tcPr>
            <w:tcW w:w="3827" w:type="dxa"/>
            <w:tcBorders>
              <w:top w:val="nil"/>
              <w:left w:val="nil"/>
              <w:bottom w:val="single" w:sz="4" w:space="0" w:color="808080" w:themeColor="background1" w:themeShade="80"/>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Foster and Kinship Care Education Program Coordinator</w:t>
            </w:r>
          </w:p>
        </w:tc>
      </w:tr>
      <w:tr w:rsidR="00C52596" w:rsidRPr="002D59B4" w:rsidTr="00D75714">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Develop and implement an outreach plan to introduce student within special populations to the opportunities at Moorpark College.</w:t>
            </w:r>
            <w:r>
              <w:rPr>
                <w:rFonts w:cs="Times New Roman"/>
                <w:sz w:val="20"/>
                <w:szCs w:val="20"/>
              </w:rPr>
              <w:t xml:space="preserve"> (G-2)</w:t>
            </w:r>
          </w:p>
        </w:tc>
        <w:tc>
          <w:tcPr>
            <w:tcW w:w="1260" w:type="dxa"/>
            <w:tcBorders>
              <w:top w:val="single" w:sz="4" w:space="0" w:color="808080" w:themeColor="background1" w:themeShade="80"/>
              <w:left w:val="nil"/>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2:</w:t>
            </w:r>
            <w:r w:rsidR="00E47F23">
              <w:rPr>
                <w:rFonts w:cs="Times New Roman"/>
                <w:sz w:val="20"/>
                <w:szCs w:val="20"/>
              </w:rPr>
              <w:br/>
            </w:r>
            <w:r w:rsidRPr="002D59B4">
              <w:rPr>
                <w:rFonts w:cs="Times New Roman"/>
                <w:sz w:val="20"/>
                <w:szCs w:val="20"/>
              </w:rPr>
              <w:t>2015-2016</w:t>
            </w:r>
          </w:p>
        </w:tc>
        <w:tc>
          <w:tcPr>
            <w:tcW w:w="3827" w:type="dxa"/>
            <w:tcBorders>
              <w:top w:val="single" w:sz="4" w:space="0" w:color="808080" w:themeColor="background1" w:themeShade="80"/>
              <w:left w:val="nil"/>
              <w:bottom w:val="nil"/>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Outreach, Dean, Counseling</w:t>
            </w:r>
          </w:p>
        </w:tc>
      </w:tr>
      <w:tr w:rsidR="00C52596" w:rsidRPr="002D59B4" w:rsidTr="00D75714">
        <w:trPr>
          <w:jc w:val="center"/>
        </w:trPr>
        <w:tc>
          <w:tcPr>
            <w:tcW w:w="6167" w:type="dxa"/>
            <w:gridSpan w:val="2"/>
            <w:tcBorders>
              <w:top w:val="nil"/>
              <w:left w:val="single" w:sz="4" w:space="0" w:color="808080" w:themeColor="background1" w:themeShade="80"/>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Utilize Grades First software to “tag” former foster youth students, allowing service area personnel to be alerted to the fact that they are working with a former foster youth student, and allow the personnel to see whether or not that student has connected with each of the services/benefits available to them.</w:t>
            </w:r>
            <w:r>
              <w:rPr>
                <w:rFonts w:cs="Times New Roman"/>
                <w:sz w:val="20"/>
                <w:szCs w:val="20"/>
              </w:rPr>
              <w:t xml:space="preserve"> (G-3)</w:t>
            </w:r>
          </w:p>
        </w:tc>
        <w:tc>
          <w:tcPr>
            <w:tcW w:w="1260" w:type="dxa"/>
            <w:tcBorders>
              <w:top w:val="nil"/>
              <w:left w:val="nil"/>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2:</w:t>
            </w:r>
            <w:r w:rsidR="00E47F23">
              <w:rPr>
                <w:rFonts w:cs="Times New Roman"/>
                <w:sz w:val="20"/>
                <w:szCs w:val="20"/>
              </w:rPr>
              <w:br/>
            </w:r>
            <w:r w:rsidRPr="002D59B4">
              <w:rPr>
                <w:rFonts w:cs="Times New Roman"/>
                <w:sz w:val="20"/>
                <w:szCs w:val="20"/>
              </w:rPr>
              <w:t>2015-2016</w:t>
            </w:r>
          </w:p>
        </w:tc>
        <w:tc>
          <w:tcPr>
            <w:tcW w:w="3827" w:type="dxa"/>
            <w:tcBorders>
              <w:top w:val="nil"/>
              <w:left w:val="nil"/>
              <w:bottom w:val="nil"/>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Student Service, Deans, Information Technology</w:t>
            </w:r>
          </w:p>
        </w:tc>
      </w:tr>
      <w:tr w:rsidR="00C52596" w:rsidRPr="00F6128E" w:rsidTr="00D75714">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C52596" w:rsidRPr="003D33D0" w:rsidRDefault="00C52596" w:rsidP="00C52596">
            <w:pPr>
              <w:spacing w:after="120"/>
              <w:rPr>
                <w:rFonts w:ascii="Calibri" w:hAnsi="Calibri"/>
                <w:sz w:val="20"/>
                <w:szCs w:val="20"/>
              </w:rPr>
            </w:pPr>
            <w:r w:rsidRPr="003D33D0">
              <w:rPr>
                <w:rFonts w:cs="Times New Roman"/>
                <w:sz w:val="20"/>
                <w:szCs w:val="20"/>
              </w:rPr>
              <w:t>Addressing any potential barriers found in the research, programs will identify specific activities/services that can be improved or added.</w:t>
            </w:r>
            <w:r>
              <w:rPr>
                <w:rFonts w:cs="Times New Roman"/>
                <w:sz w:val="20"/>
                <w:szCs w:val="20"/>
              </w:rPr>
              <w:t xml:space="preserve"> (G-1)</w:t>
            </w:r>
          </w:p>
        </w:tc>
        <w:tc>
          <w:tcPr>
            <w:tcW w:w="1260" w:type="dxa"/>
            <w:tcBorders>
              <w:top w:val="nil"/>
              <w:left w:val="nil"/>
              <w:bottom w:val="single" w:sz="4" w:space="0" w:color="808080" w:themeColor="background1" w:themeShade="80"/>
              <w:right w:val="nil"/>
            </w:tcBorders>
          </w:tcPr>
          <w:p w:rsidR="00C52596" w:rsidRPr="003D33D0" w:rsidRDefault="00C52596" w:rsidP="00C52596">
            <w:pPr>
              <w:spacing w:after="120"/>
              <w:rPr>
                <w:rFonts w:cs="Times New Roman"/>
                <w:sz w:val="20"/>
                <w:szCs w:val="20"/>
              </w:rPr>
            </w:pPr>
            <w:r w:rsidRPr="003D33D0">
              <w:rPr>
                <w:rFonts w:cs="Times New Roman"/>
                <w:sz w:val="20"/>
                <w:szCs w:val="20"/>
              </w:rPr>
              <w:t>Year 2:</w:t>
            </w:r>
            <w:r>
              <w:rPr>
                <w:rFonts w:cs="Times New Roman"/>
                <w:sz w:val="20"/>
                <w:szCs w:val="20"/>
              </w:rPr>
              <w:br/>
            </w:r>
            <w:r w:rsidRPr="003D33D0">
              <w:rPr>
                <w:rFonts w:cs="Times New Roman"/>
                <w:sz w:val="20"/>
                <w:szCs w:val="20"/>
              </w:rPr>
              <w:t>2015-2016</w:t>
            </w:r>
          </w:p>
        </w:tc>
        <w:tc>
          <w:tcPr>
            <w:tcW w:w="3827" w:type="dxa"/>
            <w:tcBorders>
              <w:top w:val="nil"/>
              <w:left w:val="nil"/>
              <w:bottom w:val="single" w:sz="4" w:space="0" w:color="808080" w:themeColor="background1" w:themeShade="80"/>
              <w:right w:val="single" w:sz="4" w:space="0" w:color="808080" w:themeColor="background1" w:themeShade="80"/>
            </w:tcBorders>
          </w:tcPr>
          <w:p w:rsidR="00C52596" w:rsidRPr="003D33D0" w:rsidRDefault="00C52596" w:rsidP="00C52596">
            <w:pPr>
              <w:spacing w:after="120"/>
              <w:rPr>
                <w:rFonts w:cs="Times New Roman"/>
                <w:sz w:val="20"/>
                <w:szCs w:val="20"/>
              </w:rPr>
            </w:pPr>
            <w:r w:rsidRPr="003D33D0">
              <w:rPr>
                <w:rFonts w:cs="Times New Roman"/>
                <w:sz w:val="20"/>
                <w:szCs w:val="20"/>
              </w:rPr>
              <w:t>Deans, Program faculty</w:t>
            </w:r>
          </w:p>
        </w:tc>
      </w:tr>
      <w:tr w:rsidR="00C52596" w:rsidRPr="002D59B4" w:rsidTr="00D75714">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Assessment of Outreach Activities</w:t>
            </w:r>
            <w:r>
              <w:rPr>
                <w:rFonts w:cs="Times New Roman"/>
                <w:sz w:val="20"/>
                <w:szCs w:val="20"/>
              </w:rPr>
              <w:t xml:space="preserve"> (G-2)</w:t>
            </w:r>
          </w:p>
        </w:tc>
        <w:tc>
          <w:tcPr>
            <w:tcW w:w="1260" w:type="dxa"/>
            <w:tcBorders>
              <w:top w:val="single" w:sz="4" w:space="0" w:color="808080" w:themeColor="background1" w:themeShade="80"/>
              <w:left w:val="nil"/>
              <w:bottom w:val="nil"/>
              <w:right w:val="nil"/>
            </w:tcBorders>
          </w:tcPr>
          <w:p w:rsidR="00C52596" w:rsidRPr="002D59B4" w:rsidRDefault="00C52596" w:rsidP="00C52596">
            <w:pPr>
              <w:spacing w:after="120"/>
              <w:rPr>
                <w:rFonts w:cs="Times New Roman"/>
                <w:sz w:val="20"/>
                <w:szCs w:val="20"/>
              </w:rPr>
            </w:pPr>
            <w:r w:rsidRPr="002D59B4">
              <w:rPr>
                <w:rFonts w:cs="Times New Roman"/>
                <w:sz w:val="20"/>
                <w:szCs w:val="20"/>
              </w:rPr>
              <w:t>Year 3:</w:t>
            </w:r>
            <w:r w:rsidR="00E47F23">
              <w:rPr>
                <w:rFonts w:cs="Times New Roman"/>
                <w:sz w:val="20"/>
                <w:szCs w:val="20"/>
              </w:rPr>
              <w:br/>
            </w:r>
            <w:r w:rsidRPr="002D59B4">
              <w:rPr>
                <w:rFonts w:cs="Times New Roman"/>
                <w:sz w:val="20"/>
                <w:szCs w:val="20"/>
              </w:rPr>
              <w:t>2016-2017</w:t>
            </w:r>
          </w:p>
        </w:tc>
        <w:tc>
          <w:tcPr>
            <w:tcW w:w="3827" w:type="dxa"/>
            <w:tcBorders>
              <w:top w:val="single" w:sz="4" w:space="0" w:color="808080" w:themeColor="background1" w:themeShade="80"/>
              <w:left w:val="nil"/>
              <w:bottom w:val="nil"/>
              <w:right w:val="single" w:sz="4" w:space="0" w:color="808080" w:themeColor="background1" w:themeShade="80"/>
            </w:tcBorders>
          </w:tcPr>
          <w:p w:rsidR="00C52596" w:rsidRPr="002D59B4" w:rsidRDefault="00C52596" w:rsidP="00C52596">
            <w:pPr>
              <w:spacing w:after="120"/>
              <w:rPr>
                <w:rFonts w:cs="Times New Roman"/>
                <w:sz w:val="20"/>
                <w:szCs w:val="20"/>
              </w:rPr>
            </w:pPr>
            <w:r w:rsidRPr="002D59B4">
              <w:rPr>
                <w:rFonts w:cs="Times New Roman"/>
                <w:sz w:val="20"/>
                <w:szCs w:val="20"/>
              </w:rPr>
              <w:t>Outreach, Dean, Office of Institutional Research</w:t>
            </w:r>
          </w:p>
        </w:tc>
      </w:tr>
      <w:tr w:rsidR="00C52596" w:rsidRPr="00F6128E" w:rsidTr="00D75714">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C52596" w:rsidRPr="003D33D0" w:rsidRDefault="00C52596" w:rsidP="00C52596">
            <w:pPr>
              <w:spacing w:after="120"/>
              <w:rPr>
                <w:rFonts w:cs="Times New Roman"/>
                <w:sz w:val="20"/>
                <w:szCs w:val="20"/>
              </w:rPr>
            </w:pPr>
            <w:r w:rsidRPr="003D33D0">
              <w:rPr>
                <w:rFonts w:cs="Times New Roman"/>
                <w:sz w:val="20"/>
                <w:szCs w:val="20"/>
              </w:rPr>
              <w:t>Programs will implement and assess program specific activities/services.</w:t>
            </w:r>
            <w:r>
              <w:rPr>
                <w:rFonts w:cs="Times New Roman"/>
                <w:sz w:val="20"/>
                <w:szCs w:val="20"/>
              </w:rPr>
              <w:t xml:space="preserve"> (G-1)</w:t>
            </w:r>
          </w:p>
        </w:tc>
        <w:tc>
          <w:tcPr>
            <w:tcW w:w="1260" w:type="dxa"/>
            <w:tcBorders>
              <w:top w:val="nil"/>
              <w:left w:val="nil"/>
              <w:bottom w:val="single" w:sz="4" w:space="0" w:color="808080" w:themeColor="background1" w:themeShade="80"/>
              <w:right w:val="nil"/>
            </w:tcBorders>
          </w:tcPr>
          <w:p w:rsidR="00C52596" w:rsidRPr="003D33D0" w:rsidRDefault="00C52596" w:rsidP="00C52596">
            <w:pPr>
              <w:spacing w:after="120"/>
              <w:rPr>
                <w:rFonts w:cs="Times New Roman"/>
                <w:sz w:val="20"/>
                <w:szCs w:val="20"/>
              </w:rPr>
            </w:pPr>
            <w:r w:rsidRPr="003D33D0">
              <w:rPr>
                <w:rFonts w:cs="Times New Roman"/>
                <w:sz w:val="20"/>
                <w:szCs w:val="20"/>
              </w:rPr>
              <w:t>Year 3:</w:t>
            </w:r>
            <w:r>
              <w:rPr>
                <w:rFonts w:cs="Times New Roman"/>
                <w:sz w:val="20"/>
                <w:szCs w:val="20"/>
              </w:rPr>
              <w:br/>
            </w:r>
            <w:r w:rsidRPr="003D33D0">
              <w:rPr>
                <w:rFonts w:cs="Times New Roman"/>
                <w:sz w:val="20"/>
                <w:szCs w:val="20"/>
              </w:rPr>
              <w:t>2016-2017</w:t>
            </w:r>
          </w:p>
        </w:tc>
        <w:tc>
          <w:tcPr>
            <w:tcW w:w="3827" w:type="dxa"/>
            <w:tcBorders>
              <w:top w:val="nil"/>
              <w:left w:val="nil"/>
              <w:bottom w:val="single" w:sz="4" w:space="0" w:color="808080" w:themeColor="background1" w:themeShade="80"/>
              <w:right w:val="single" w:sz="4" w:space="0" w:color="808080" w:themeColor="background1" w:themeShade="80"/>
            </w:tcBorders>
          </w:tcPr>
          <w:p w:rsidR="00C52596" w:rsidRPr="003D33D0" w:rsidRDefault="00C52596" w:rsidP="00C52596">
            <w:pPr>
              <w:spacing w:after="120"/>
              <w:rPr>
                <w:rFonts w:cs="Times New Roman"/>
                <w:sz w:val="20"/>
                <w:szCs w:val="20"/>
              </w:rPr>
            </w:pPr>
            <w:r w:rsidRPr="003D33D0">
              <w:rPr>
                <w:rFonts w:cs="Times New Roman"/>
                <w:sz w:val="20"/>
                <w:szCs w:val="20"/>
              </w:rPr>
              <w:t>Deans, Program faculty</w:t>
            </w:r>
          </w:p>
        </w:tc>
      </w:tr>
    </w:tbl>
    <w:p w:rsidR="00153991" w:rsidRDefault="00153991" w:rsidP="00153991">
      <w:bookmarkStart w:id="0" w:name="_GoBack"/>
      <w:bookmarkEnd w:id="0"/>
      <w:r>
        <w:br w:type="page"/>
      </w:r>
    </w:p>
    <w:p w:rsidR="00F5153B" w:rsidRDefault="00F5153B" w:rsidP="00C52596"/>
    <w:tbl>
      <w:tblPr>
        <w:tblStyle w:val="TableGrid"/>
        <w:tblW w:w="0" w:type="auto"/>
        <w:jc w:val="center"/>
        <w:tblInd w:w="-2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990"/>
        <w:gridCol w:w="1260"/>
        <w:gridCol w:w="3827"/>
      </w:tblGrid>
      <w:tr w:rsidR="00F5153B" w:rsidTr="00153991">
        <w:trPr>
          <w:jc w:val="center"/>
        </w:trPr>
        <w:tc>
          <w:tcPr>
            <w:tcW w:w="5177" w:type="dxa"/>
            <w:shd w:val="clear" w:color="auto" w:fill="DBE5F1" w:themeFill="accent1" w:themeFillTint="33"/>
            <w:vAlign w:val="bottom"/>
          </w:tcPr>
          <w:p w:rsidR="00F5153B" w:rsidRDefault="00F5153B" w:rsidP="00F77F14">
            <w:pPr>
              <w:pStyle w:val="Heading3"/>
              <w:spacing w:before="120"/>
            </w:pPr>
            <w:r>
              <w:t>Indicator</w:t>
            </w:r>
            <w:r w:rsidR="00153991">
              <w:t>:  Course Completion</w:t>
            </w:r>
          </w:p>
        </w:tc>
        <w:tc>
          <w:tcPr>
            <w:tcW w:w="6077" w:type="dxa"/>
            <w:gridSpan w:val="3"/>
            <w:shd w:val="clear" w:color="auto" w:fill="DBE5F1" w:themeFill="accent1" w:themeFillTint="33"/>
            <w:vAlign w:val="bottom"/>
          </w:tcPr>
          <w:p w:rsidR="00F5153B" w:rsidRDefault="00F5153B" w:rsidP="00F77F14">
            <w:pPr>
              <w:pStyle w:val="Heading3"/>
              <w:spacing w:before="120"/>
            </w:pPr>
            <w:r>
              <w:t>Campus Based Research</w:t>
            </w:r>
          </w:p>
        </w:tc>
      </w:tr>
      <w:tr w:rsidR="00F5153B" w:rsidTr="00153991">
        <w:trPr>
          <w:jc w:val="center"/>
        </w:trPr>
        <w:tc>
          <w:tcPr>
            <w:tcW w:w="5177" w:type="dxa"/>
            <w:tcBorders>
              <w:bottom w:val="single" w:sz="4" w:space="0" w:color="808080" w:themeColor="background1" w:themeShade="80"/>
            </w:tcBorders>
          </w:tcPr>
          <w:p w:rsidR="00F5153B" w:rsidRPr="0045061D" w:rsidRDefault="0045061D" w:rsidP="0045061D">
            <w:pPr>
              <w:pStyle w:val="Header"/>
              <w:tabs>
                <w:tab w:val="clear" w:pos="4320"/>
                <w:tab w:val="clear" w:pos="8640"/>
              </w:tabs>
              <w:rPr>
                <w:rFonts w:asciiTheme="minorHAnsi" w:hAnsiTheme="minorHAnsi"/>
                <w:iCs/>
                <w:sz w:val="20"/>
              </w:rPr>
            </w:pPr>
            <w:r>
              <w:rPr>
                <w:rFonts w:asciiTheme="minorHAnsi" w:hAnsiTheme="minorHAnsi"/>
                <w:iCs/>
                <w:sz w:val="20"/>
              </w:rPr>
              <w:t>Ratio of the # of credit courses that students by population group complete with a passing grade compared to the # of courses in which students in that group are enrolled at census.</w:t>
            </w:r>
          </w:p>
        </w:tc>
        <w:tc>
          <w:tcPr>
            <w:tcW w:w="6077" w:type="dxa"/>
            <w:gridSpan w:val="3"/>
            <w:tcBorders>
              <w:bottom w:val="single" w:sz="4" w:space="0" w:color="808080" w:themeColor="background1" w:themeShade="80"/>
            </w:tcBorders>
          </w:tcPr>
          <w:p w:rsidR="00F5153B" w:rsidRDefault="0045061D" w:rsidP="0045061D">
            <w:pPr>
              <w:spacing w:after="120"/>
              <w:ind w:left="58"/>
              <w:rPr>
                <w:rFonts w:eastAsia="Times New Roman" w:cs="Times New Roman"/>
                <w:iCs/>
                <w:sz w:val="20"/>
                <w:szCs w:val="20"/>
              </w:rPr>
            </w:pPr>
            <w:r w:rsidRPr="0045061D">
              <w:rPr>
                <w:rFonts w:eastAsia="Times New Roman" w:cs="Times New Roman"/>
                <w:iCs/>
                <w:sz w:val="20"/>
                <w:szCs w:val="20"/>
              </w:rPr>
              <w:t xml:space="preserve">The data indicate that African American students </w:t>
            </w:r>
            <w:r>
              <w:rPr>
                <w:rFonts w:eastAsia="Times New Roman" w:cs="Times New Roman"/>
                <w:iCs/>
                <w:sz w:val="20"/>
                <w:szCs w:val="20"/>
              </w:rPr>
              <w:t>who have a</w:t>
            </w:r>
            <w:r w:rsidRPr="0045061D">
              <w:rPr>
                <w:rFonts w:eastAsia="Times New Roman" w:cs="Times New Roman"/>
                <w:iCs/>
                <w:sz w:val="20"/>
                <w:szCs w:val="20"/>
              </w:rPr>
              <w:t xml:space="preserve"> 56% </w:t>
            </w:r>
            <w:r>
              <w:rPr>
                <w:rFonts w:eastAsia="Times New Roman" w:cs="Times New Roman"/>
                <w:iCs/>
                <w:sz w:val="20"/>
                <w:szCs w:val="20"/>
              </w:rPr>
              <w:t xml:space="preserve">course completion rate, </w:t>
            </w:r>
            <w:r w:rsidRPr="0045061D">
              <w:rPr>
                <w:rFonts w:eastAsia="Times New Roman" w:cs="Times New Roman"/>
                <w:iCs/>
                <w:sz w:val="20"/>
                <w:szCs w:val="20"/>
              </w:rPr>
              <w:t>experience the greatest disproportionate impact, compared to White students.  African American students achieved only 73 percent as well as White students.</w:t>
            </w:r>
          </w:p>
          <w:p w:rsidR="002E2391" w:rsidRPr="00E6766D" w:rsidRDefault="002E2391" w:rsidP="009C6909">
            <w:pPr>
              <w:spacing w:after="120"/>
              <w:ind w:left="58"/>
              <w:rPr>
                <w:sz w:val="20"/>
                <w:szCs w:val="20"/>
              </w:rPr>
            </w:pPr>
            <w:r w:rsidRPr="0045061D">
              <w:rPr>
                <w:rFonts w:eastAsia="Times New Roman" w:cs="Times New Roman"/>
                <w:iCs/>
                <w:sz w:val="20"/>
                <w:szCs w:val="20"/>
              </w:rPr>
              <w:t xml:space="preserve">The data indicate that </w:t>
            </w:r>
            <w:r>
              <w:rPr>
                <w:rFonts w:eastAsia="Times New Roman" w:cs="Times New Roman"/>
                <w:iCs/>
                <w:sz w:val="20"/>
                <w:szCs w:val="20"/>
              </w:rPr>
              <w:t>Former Foster Youth</w:t>
            </w:r>
            <w:r w:rsidRPr="0045061D">
              <w:rPr>
                <w:rFonts w:eastAsia="Times New Roman" w:cs="Times New Roman"/>
                <w:iCs/>
                <w:sz w:val="20"/>
                <w:szCs w:val="20"/>
              </w:rPr>
              <w:t xml:space="preserve"> students </w:t>
            </w:r>
            <w:r>
              <w:rPr>
                <w:rFonts w:eastAsia="Times New Roman" w:cs="Times New Roman"/>
                <w:iCs/>
                <w:sz w:val="20"/>
                <w:szCs w:val="20"/>
              </w:rPr>
              <w:t>who also have a</w:t>
            </w:r>
            <w:r w:rsidRPr="0045061D">
              <w:rPr>
                <w:rFonts w:eastAsia="Times New Roman" w:cs="Times New Roman"/>
                <w:iCs/>
                <w:sz w:val="20"/>
                <w:szCs w:val="20"/>
              </w:rPr>
              <w:t xml:space="preserve"> 56% </w:t>
            </w:r>
            <w:r>
              <w:rPr>
                <w:rFonts w:eastAsia="Times New Roman" w:cs="Times New Roman"/>
                <w:iCs/>
                <w:sz w:val="20"/>
                <w:szCs w:val="20"/>
              </w:rPr>
              <w:t xml:space="preserve">course completion rate, </w:t>
            </w:r>
            <w:r w:rsidRPr="0045061D">
              <w:rPr>
                <w:rFonts w:eastAsia="Times New Roman" w:cs="Times New Roman"/>
                <w:iCs/>
                <w:sz w:val="20"/>
                <w:szCs w:val="20"/>
              </w:rPr>
              <w:t xml:space="preserve">experience the greatest disproportionate impact, compared to White students.  </w:t>
            </w:r>
          </w:p>
        </w:tc>
      </w:tr>
      <w:tr w:rsidR="00F5153B" w:rsidTr="00153991">
        <w:trPr>
          <w:jc w:val="center"/>
        </w:trPr>
        <w:tc>
          <w:tcPr>
            <w:tcW w:w="5177" w:type="dxa"/>
            <w:shd w:val="clear" w:color="auto" w:fill="DBE5F1" w:themeFill="accent1" w:themeFillTint="33"/>
            <w:vAlign w:val="bottom"/>
          </w:tcPr>
          <w:p w:rsidR="00F5153B" w:rsidRDefault="00F5153B" w:rsidP="00F77F14">
            <w:pPr>
              <w:pStyle w:val="Heading3"/>
              <w:spacing w:before="120"/>
            </w:pPr>
            <w:r>
              <w:t>Goals</w:t>
            </w:r>
          </w:p>
        </w:tc>
        <w:tc>
          <w:tcPr>
            <w:tcW w:w="6077" w:type="dxa"/>
            <w:gridSpan w:val="3"/>
            <w:shd w:val="clear" w:color="auto" w:fill="DBE5F1" w:themeFill="accent1" w:themeFillTint="33"/>
            <w:vAlign w:val="bottom"/>
          </w:tcPr>
          <w:p w:rsidR="00F5153B" w:rsidRDefault="00F5153B" w:rsidP="00F77F14">
            <w:pPr>
              <w:pStyle w:val="Heading3"/>
              <w:spacing w:before="120"/>
            </w:pPr>
            <w:r>
              <w:t>Desired Outcomes</w:t>
            </w:r>
          </w:p>
        </w:tc>
      </w:tr>
      <w:tr w:rsidR="00F5153B" w:rsidTr="00153991">
        <w:trPr>
          <w:jc w:val="center"/>
        </w:trPr>
        <w:tc>
          <w:tcPr>
            <w:tcW w:w="5177" w:type="dxa"/>
            <w:tcBorders>
              <w:bottom w:val="single" w:sz="4" w:space="0" w:color="808080" w:themeColor="background1" w:themeShade="80"/>
            </w:tcBorders>
          </w:tcPr>
          <w:p w:rsidR="00F5153B" w:rsidRPr="00D01099" w:rsidRDefault="009C6909" w:rsidP="0013655A">
            <w:pPr>
              <w:pStyle w:val="ListParagraph"/>
              <w:numPr>
                <w:ilvl w:val="0"/>
                <w:numId w:val="3"/>
              </w:numPr>
              <w:spacing w:after="120"/>
              <w:ind w:left="389"/>
              <w:contextualSpacing w:val="0"/>
              <w:rPr>
                <w:sz w:val="20"/>
                <w:szCs w:val="20"/>
              </w:rPr>
            </w:pPr>
            <w:r w:rsidRPr="00D01099">
              <w:rPr>
                <w:sz w:val="20"/>
                <w:szCs w:val="20"/>
              </w:rPr>
              <w:t>Increase the successful course completion rate for African American students (currently this population has a 56% successful course completion rate).</w:t>
            </w:r>
          </w:p>
          <w:p w:rsidR="009C6909" w:rsidRPr="00D01099" w:rsidRDefault="009C6909" w:rsidP="0013655A">
            <w:pPr>
              <w:pStyle w:val="ListParagraph"/>
              <w:numPr>
                <w:ilvl w:val="0"/>
                <w:numId w:val="3"/>
              </w:numPr>
              <w:spacing w:after="120"/>
              <w:ind w:left="389"/>
              <w:contextualSpacing w:val="0"/>
              <w:rPr>
                <w:sz w:val="20"/>
                <w:szCs w:val="20"/>
              </w:rPr>
            </w:pPr>
            <w:r w:rsidRPr="00D01099">
              <w:rPr>
                <w:sz w:val="20"/>
                <w:szCs w:val="20"/>
              </w:rPr>
              <w:t>Increase the successful course completion rate for former foster youth students (currently this population has a 56% successful course completion rate).</w:t>
            </w:r>
          </w:p>
        </w:tc>
        <w:tc>
          <w:tcPr>
            <w:tcW w:w="6077" w:type="dxa"/>
            <w:gridSpan w:val="3"/>
            <w:tcBorders>
              <w:bottom w:val="single" w:sz="4" w:space="0" w:color="808080" w:themeColor="background1" w:themeShade="80"/>
            </w:tcBorders>
          </w:tcPr>
          <w:p w:rsidR="00F5153B" w:rsidRPr="00D01099" w:rsidRDefault="009C6909" w:rsidP="0013655A">
            <w:pPr>
              <w:pStyle w:val="ListParagraph"/>
              <w:numPr>
                <w:ilvl w:val="0"/>
                <w:numId w:val="1"/>
              </w:numPr>
              <w:spacing w:after="120"/>
              <w:ind w:left="187" w:hanging="187"/>
              <w:contextualSpacing w:val="0"/>
              <w:rPr>
                <w:sz w:val="20"/>
                <w:szCs w:val="20"/>
              </w:rPr>
            </w:pPr>
            <w:r w:rsidRPr="00D01099">
              <w:rPr>
                <w:rFonts w:cs="Times New Roman"/>
                <w:sz w:val="20"/>
                <w:szCs w:val="20"/>
              </w:rPr>
              <w:t>Successful course completion rates for African American students will reach 60% within the next 3 years.</w:t>
            </w:r>
          </w:p>
          <w:p w:rsidR="009C6909" w:rsidRPr="00D01099" w:rsidRDefault="009C6909" w:rsidP="0013655A">
            <w:pPr>
              <w:pStyle w:val="ListParagraph"/>
              <w:numPr>
                <w:ilvl w:val="0"/>
                <w:numId w:val="1"/>
              </w:numPr>
              <w:spacing w:after="120"/>
              <w:ind w:left="187" w:hanging="187"/>
              <w:contextualSpacing w:val="0"/>
              <w:rPr>
                <w:sz w:val="20"/>
                <w:szCs w:val="20"/>
              </w:rPr>
            </w:pPr>
            <w:r w:rsidRPr="00D01099">
              <w:rPr>
                <w:rFonts w:cs="Times New Roman"/>
                <w:sz w:val="20"/>
                <w:szCs w:val="20"/>
              </w:rPr>
              <w:t>Successful course completion rates for foster youth students will reach 60% within the next 3 years.</w:t>
            </w:r>
          </w:p>
        </w:tc>
      </w:tr>
      <w:tr w:rsidR="00F5153B" w:rsidTr="009C6909">
        <w:trPr>
          <w:jc w:val="center"/>
        </w:trPr>
        <w:tc>
          <w:tcPr>
            <w:tcW w:w="6167" w:type="dxa"/>
            <w:gridSpan w:val="2"/>
            <w:tcBorders>
              <w:bottom w:val="single" w:sz="4" w:space="0" w:color="808080" w:themeColor="background1" w:themeShade="80"/>
              <w:right w:val="nil"/>
            </w:tcBorders>
            <w:shd w:val="clear" w:color="auto" w:fill="DBE5F1" w:themeFill="accent1" w:themeFillTint="33"/>
            <w:vAlign w:val="bottom"/>
          </w:tcPr>
          <w:p w:rsidR="00F5153B" w:rsidRDefault="00F5153B" w:rsidP="00F77F14">
            <w:pPr>
              <w:pStyle w:val="Heading3"/>
              <w:spacing w:before="120"/>
            </w:pPr>
            <w:r>
              <w:t>Activities from Equity Plan</w:t>
            </w:r>
          </w:p>
        </w:tc>
        <w:tc>
          <w:tcPr>
            <w:tcW w:w="1260" w:type="dxa"/>
            <w:tcBorders>
              <w:left w:val="nil"/>
              <w:bottom w:val="single" w:sz="4" w:space="0" w:color="808080" w:themeColor="background1" w:themeShade="80"/>
              <w:right w:val="nil"/>
            </w:tcBorders>
            <w:shd w:val="clear" w:color="auto" w:fill="DBE5F1" w:themeFill="accent1" w:themeFillTint="33"/>
            <w:vAlign w:val="bottom"/>
          </w:tcPr>
          <w:p w:rsidR="00F5153B" w:rsidRDefault="00F5153B" w:rsidP="00F77F14">
            <w:pPr>
              <w:pStyle w:val="Heading3"/>
              <w:spacing w:before="120"/>
            </w:pPr>
            <w:r>
              <w:t>Timeline</w:t>
            </w:r>
          </w:p>
        </w:tc>
        <w:tc>
          <w:tcPr>
            <w:tcW w:w="3827" w:type="dxa"/>
            <w:tcBorders>
              <w:left w:val="nil"/>
              <w:bottom w:val="single" w:sz="4" w:space="0" w:color="808080" w:themeColor="background1" w:themeShade="80"/>
            </w:tcBorders>
            <w:shd w:val="clear" w:color="auto" w:fill="DBE5F1" w:themeFill="accent1" w:themeFillTint="33"/>
            <w:vAlign w:val="bottom"/>
          </w:tcPr>
          <w:p w:rsidR="00F5153B" w:rsidRDefault="00F5153B" w:rsidP="00F77F14">
            <w:pPr>
              <w:pStyle w:val="Heading3"/>
              <w:spacing w:before="120"/>
            </w:pPr>
            <w:r>
              <w:t>Responsible Party</w:t>
            </w:r>
          </w:p>
        </w:tc>
      </w:tr>
      <w:tr w:rsidR="009C6909" w:rsidRPr="002D59B4" w:rsidTr="009C6909">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Discipline faculty will analyze course completion data to identify potential barriers within their programs.</w:t>
            </w:r>
            <w:r w:rsidR="00256D9A">
              <w:rPr>
                <w:rFonts w:cs="Times New Roman"/>
                <w:sz w:val="20"/>
                <w:szCs w:val="20"/>
              </w:rPr>
              <w:t xml:space="preserve"> (G-1)</w:t>
            </w:r>
          </w:p>
        </w:tc>
        <w:tc>
          <w:tcPr>
            <w:tcW w:w="1260" w:type="dxa"/>
            <w:tcBorders>
              <w:top w:val="single" w:sz="4" w:space="0" w:color="808080" w:themeColor="background1" w:themeShade="80"/>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1:</w:t>
            </w:r>
          </w:p>
          <w:p w:rsidR="009C6909" w:rsidRPr="009C6909" w:rsidRDefault="009C6909" w:rsidP="00F77F14">
            <w:pPr>
              <w:rPr>
                <w:rFonts w:cs="Times New Roman"/>
                <w:sz w:val="20"/>
                <w:szCs w:val="20"/>
              </w:rPr>
            </w:pPr>
            <w:r w:rsidRPr="009C6909">
              <w:rPr>
                <w:rFonts w:cs="Times New Roman"/>
                <w:sz w:val="20"/>
                <w:szCs w:val="20"/>
              </w:rPr>
              <w:t>2014-2015</w:t>
            </w:r>
          </w:p>
        </w:tc>
        <w:tc>
          <w:tcPr>
            <w:tcW w:w="3827" w:type="dxa"/>
            <w:tcBorders>
              <w:top w:val="single" w:sz="4" w:space="0" w:color="808080" w:themeColor="background1" w:themeShade="80"/>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Program faculty, Deans, Office of Institutional Research</w:t>
            </w:r>
          </w:p>
        </w:tc>
      </w:tr>
      <w:tr w:rsidR="009C6909" w:rsidRPr="00F6128E" w:rsidTr="009C6909">
        <w:trPr>
          <w:jc w:val="center"/>
        </w:trPr>
        <w:tc>
          <w:tcPr>
            <w:tcW w:w="6167" w:type="dxa"/>
            <w:gridSpan w:val="2"/>
            <w:tcBorders>
              <w:top w:val="nil"/>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Present and discuss the 2014 CCSSE and SENSE survey results to determine if students are indicating a recognized value to the services provided on campus, such as tutoring.</w:t>
            </w:r>
            <w:r w:rsidR="00256D9A">
              <w:rPr>
                <w:rFonts w:cs="Times New Roman"/>
                <w:sz w:val="20"/>
                <w:szCs w:val="20"/>
              </w:rPr>
              <w:t xml:space="preserve"> (G-1) (G-2)</w:t>
            </w:r>
          </w:p>
        </w:tc>
        <w:tc>
          <w:tcPr>
            <w:tcW w:w="1260" w:type="dxa"/>
            <w:tcBorders>
              <w:top w:val="nil"/>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1:</w:t>
            </w:r>
          </w:p>
          <w:p w:rsidR="009C6909" w:rsidRPr="009C6909" w:rsidRDefault="009C6909" w:rsidP="00F77F14">
            <w:pPr>
              <w:rPr>
                <w:rFonts w:cs="Times New Roman"/>
                <w:sz w:val="20"/>
                <w:szCs w:val="20"/>
              </w:rPr>
            </w:pPr>
            <w:r w:rsidRPr="009C6909">
              <w:rPr>
                <w:rFonts w:cs="Times New Roman"/>
                <w:sz w:val="20"/>
                <w:szCs w:val="20"/>
              </w:rPr>
              <w:t>2014-2015</w:t>
            </w:r>
          </w:p>
        </w:tc>
        <w:tc>
          <w:tcPr>
            <w:tcW w:w="3827" w:type="dxa"/>
            <w:tcBorders>
              <w:top w:val="nil"/>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Office of Student Learning, Office of Institutional Research, Student Services Council</w:t>
            </w:r>
          </w:p>
        </w:tc>
      </w:tr>
      <w:tr w:rsidR="009C6909" w:rsidRPr="002D59B4" w:rsidTr="00D01099">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9C6909" w:rsidRPr="009C6909" w:rsidRDefault="009C6909" w:rsidP="00F77F14">
            <w:pPr>
              <w:rPr>
                <w:rFonts w:cs="Times New Roman"/>
                <w:sz w:val="20"/>
                <w:szCs w:val="20"/>
              </w:rPr>
            </w:pPr>
            <w:r w:rsidRPr="009C6909">
              <w:rPr>
                <w:rFonts w:cs="Times New Roman"/>
                <w:sz w:val="20"/>
                <w:szCs w:val="20"/>
              </w:rPr>
              <w:t>Provide professional development opportunities to help faculty understand and analyze completion data.</w:t>
            </w:r>
            <w:r w:rsidR="00256D9A">
              <w:rPr>
                <w:rFonts w:cs="Times New Roman"/>
                <w:sz w:val="20"/>
                <w:szCs w:val="20"/>
              </w:rPr>
              <w:t xml:space="preserve"> (G-1)</w:t>
            </w:r>
          </w:p>
        </w:tc>
        <w:tc>
          <w:tcPr>
            <w:tcW w:w="1260" w:type="dxa"/>
            <w:tcBorders>
              <w:top w:val="nil"/>
              <w:left w:val="nil"/>
              <w:bottom w:val="single" w:sz="4" w:space="0" w:color="808080" w:themeColor="background1" w:themeShade="80"/>
              <w:right w:val="nil"/>
            </w:tcBorders>
          </w:tcPr>
          <w:p w:rsidR="009C6909" w:rsidRPr="009C6909" w:rsidRDefault="009C6909" w:rsidP="00F77F14">
            <w:pPr>
              <w:rPr>
                <w:rFonts w:cs="Times New Roman"/>
                <w:sz w:val="20"/>
                <w:szCs w:val="20"/>
              </w:rPr>
            </w:pPr>
            <w:r w:rsidRPr="009C6909">
              <w:rPr>
                <w:rFonts w:cs="Times New Roman"/>
                <w:sz w:val="20"/>
                <w:szCs w:val="20"/>
              </w:rPr>
              <w:t>Year 1:</w:t>
            </w:r>
          </w:p>
          <w:p w:rsidR="009C6909" w:rsidRPr="009C6909" w:rsidRDefault="009C6909" w:rsidP="00F77F14">
            <w:pPr>
              <w:rPr>
                <w:rFonts w:cs="Times New Roman"/>
                <w:sz w:val="20"/>
                <w:szCs w:val="20"/>
              </w:rPr>
            </w:pPr>
            <w:r w:rsidRPr="009C6909">
              <w:rPr>
                <w:rFonts w:cs="Times New Roman"/>
                <w:sz w:val="20"/>
                <w:szCs w:val="20"/>
              </w:rPr>
              <w:t>2014-2015</w:t>
            </w:r>
          </w:p>
        </w:tc>
        <w:tc>
          <w:tcPr>
            <w:tcW w:w="3827" w:type="dxa"/>
            <w:tcBorders>
              <w:top w:val="nil"/>
              <w:left w:val="nil"/>
              <w:bottom w:val="single" w:sz="4" w:space="0" w:color="808080" w:themeColor="background1" w:themeShade="80"/>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Professional Development Committee, Office of Institutional Research</w:t>
            </w:r>
          </w:p>
        </w:tc>
      </w:tr>
      <w:tr w:rsidR="009C6909" w:rsidRPr="002D59B4" w:rsidTr="00D01099">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Instructional programs will identify specific activities/services that will minimize course completion barriers.</w:t>
            </w:r>
            <w:r w:rsidR="00256D9A">
              <w:rPr>
                <w:rFonts w:cs="Times New Roman"/>
                <w:sz w:val="20"/>
                <w:szCs w:val="20"/>
              </w:rPr>
              <w:t xml:space="preserve"> (G-1)</w:t>
            </w:r>
          </w:p>
        </w:tc>
        <w:tc>
          <w:tcPr>
            <w:tcW w:w="1260" w:type="dxa"/>
            <w:tcBorders>
              <w:top w:val="single" w:sz="4" w:space="0" w:color="808080" w:themeColor="background1" w:themeShade="80"/>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2:</w:t>
            </w:r>
          </w:p>
          <w:p w:rsidR="009C6909" w:rsidRPr="009C6909" w:rsidRDefault="009C6909" w:rsidP="00F77F14">
            <w:pPr>
              <w:rPr>
                <w:rFonts w:cs="Times New Roman"/>
                <w:sz w:val="20"/>
                <w:szCs w:val="20"/>
              </w:rPr>
            </w:pPr>
            <w:r w:rsidRPr="009C6909">
              <w:rPr>
                <w:rFonts w:cs="Times New Roman"/>
                <w:sz w:val="20"/>
                <w:szCs w:val="20"/>
              </w:rPr>
              <w:t>2015-2016</w:t>
            </w:r>
          </w:p>
        </w:tc>
        <w:tc>
          <w:tcPr>
            <w:tcW w:w="3827" w:type="dxa"/>
            <w:tcBorders>
              <w:top w:val="single" w:sz="4" w:space="0" w:color="808080" w:themeColor="background1" w:themeShade="80"/>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Program faculty</w:t>
            </w:r>
          </w:p>
        </w:tc>
      </w:tr>
      <w:tr w:rsidR="009C6909" w:rsidRPr="002D59B4" w:rsidTr="00D01099">
        <w:trPr>
          <w:jc w:val="center"/>
        </w:trPr>
        <w:tc>
          <w:tcPr>
            <w:tcW w:w="6167" w:type="dxa"/>
            <w:gridSpan w:val="2"/>
            <w:tcBorders>
              <w:top w:val="nil"/>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Keynote Speaker will address faculty and staff, providing information and guidance in regards to assisting former foster youth</w:t>
            </w:r>
            <w:r w:rsidR="00256D9A">
              <w:rPr>
                <w:rFonts w:cs="Times New Roman"/>
                <w:sz w:val="20"/>
                <w:szCs w:val="20"/>
              </w:rPr>
              <w:t>. (G-2)</w:t>
            </w:r>
          </w:p>
        </w:tc>
        <w:tc>
          <w:tcPr>
            <w:tcW w:w="1260" w:type="dxa"/>
            <w:tcBorders>
              <w:top w:val="nil"/>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2:</w:t>
            </w:r>
          </w:p>
          <w:p w:rsidR="009C6909" w:rsidRPr="009C6909" w:rsidRDefault="009C6909" w:rsidP="00F77F14">
            <w:pPr>
              <w:rPr>
                <w:rFonts w:cs="Times New Roman"/>
                <w:sz w:val="20"/>
                <w:szCs w:val="20"/>
              </w:rPr>
            </w:pPr>
            <w:r w:rsidRPr="009C6909">
              <w:rPr>
                <w:rFonts w:cs="Times New Roman"/>
                <w:sz w:val="20"/>
                <w:szCs w:val="20"/>
              </w:rPr>
              <w:t>2015-2016</w:t>
            </w:r>
          </w:p>
        </w:tc>
        <w:tc>
          <w:tcPr>
            <w:tcW w:w="3827" w:type="dxa"/>
            <w:tcBorders>
              <w:top w:val="nil"/>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Former Foster Youth Task Force</w:t>
            </w:r>
          </w:p>
        </w:tc>
      </w:tr>
      <w:tr w:rsidR="00D01099" w:rsidRPr="002D59B4" w:rsidTr="00D01099">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9C6909" w:rsidRPr="009C6909" w:rsidRDefault="009C6909" w:rsidP="00F77F14">
            <w:pPr>
              <w:rPr>
                <w:rFonts w:cs="Times New Roman"/>
                <w:sz w:val="20"/>
                <w:szCs w:val="20"/>
              </w:rPr>
            </w:pPr>
            <w:r w:rsidRPr="009C6909">
              <w:rPr>
                <w:rFonts w:cs="Times New Roman"/>
                <w:sz w:val="20"/>
                <w:szCs w:val="20"/>
              </w:rPr>
              <w:t>Provide professional development opportunities to help faculty learn to best practices in student success and equity, specifically dealing with African American students</w:t>
            </w:r>
            <w:r w:rsidR="00256D9A">
              <w:rPr>
                <w:rFonts w:cs="Times New Roman"/>
                <w:sz w:val="20"/>
                <w:szCs w:val="20"/>
              </w:rPr>
              <w:t>. (G-1)</w:t>
            </w:r>
          </w:p>
        </w:tc>
        <w:tc>
          <w:tcPr>
            <w:tcW w:w="1260" w:type="dxa"/>
            <w:tcBorders>
              <w:top w:val="nil"/>
              <w:left w:val="nil"/>
              <w:bottom w:val="single" w:sz="4" w:space="0" w:color="808080" w:themeColor="background1" w:themeShade="80"/>
              <w:right w:val="nil"/>
            </w:tcBorders>
          </w:tcPr>
          <w:p w:rsidR="009C6909" w:rsidRPr="009C6909" w:rsidRDefault="009C6909" w:rsidP="00F77F14">
            <w:pPr>
              <w:rPr>
                <w:rFonts w:cs="Times New Roman"/>
                <w:sz w:val="20"/>
                <w:szCs w:val="20"/>
              </w:rPr>
            </w:pPr>
            <w:r w:rsidRPr="009C6909">
              <w:rPr>
                <w:rFonts w:cs="Times New Roman"/>
                <w:sz w:val="20"/>
                <w:szCs w:val="20"/>
              </w:rPr>
              <w:t>Year 2:</w:t>
            </w:r>
          </w:p>
          <w:p w:rsidR="009C6909" w:rsidRPr="009C6909" w:rsidRDefault="009C6909" w:rsidP="00F77F14">
            <w:pPr>
              <w:rPr>
                <w:rFonts w:cs="Times New Roman"/>
                <w:sz w:val="20"/>
                <w:szCs w:val="20"/>
              </w:rPr>
            </w:pPr>
            <w:r w:rsidRPr="009C6909">
              <w:rPr>
                <w:rFonts w:cs="Times New Roman"/>
                <w:sz w:val="20"/>
                <w:szCs w:val="20"/>
              </w:rPr>
              <w:t>2015-2016</w:t>
            </w:r>
          </w:p>
        </w:tc>
        <w:tc>
          <w:tcPr>
            <w:tcW w:w="3827" w:type="dxa"/>
            <w:tcBorders>
              <w:top w:val="nil"/>
              <w:left w:val="nil"/>
              <w:bottom w:val="single" w:sz="4" w:space="0" w:color="808080" w:themeColor="background1" w:themeShade="80"/>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Professional Development Committee, Student Success and Equity Committee, Basic Skills Committee</w:t>
            </w:r>
          </w:p>
        </w:tc>
      </w:tr>
      <w:tr w:rsidR="00D01099" w:rsidRPr="00F6128E" w:rsidTr="00D01099">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Develop expanded Early Alert Process (“follow-up” campaign) utilizing the Grades First system, reaching out to students who have been identified as “at risk”. (Student Success Initiative, Item SS10)</w:t>
            </w:r>
            <w:r w:rsidR="00256D9A">
              <w:rPr>
                <w:rFonts w:cs="Times New Roman"/>
                <w:sz w:val="20"/>
                <w:szCs w:val="20"/>
              </w:rPr>
              <w:t xml:space="preserve"> (G-1) (G-2)</w:t>
            </w:r>
          </w:p>
        </w:tc>
        <w:tc>
          <w:tcPr>
            <w:tcW w:w="1260" w:type="dxa"/>
            <w:tcBorders>
              <w:top w:val="single" w:sz="4" w:space="0" w:color="808080" w:themeColor="background1" w:themeShade="80"/>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3:</w:t>
            </w:r>
          </w:p>
          <w:p w:rsidR="009C6909" w:rsidRPr="009C6909" w:rsidRDefault="009C6909" w:rsidP="00F77F14">
            <w:pPr>
              <w:rPr>
                <w:rFonts w:cs="Times New Roman"/>
                <w:sz w:val="20"/>
                <w:szCs w:val="20"/>
              </w:rPr>
            </w:pPr>
            <w:r w:rsidRPr="009C6909">
              <w:rPr>
                <w:rFonts w:cs="Times New Roman"/>
                <w:sz w:val="20"/>
                <w:szCs w:val="20"/>
              </w:rPr>
              <w:t>2016-2017</w:t>
            </w:r>
          </w:p>
        </w:tc>
        <w:tc>
          <w:tcPr>
            <w:tcW w:w="3827" w:type="dxa"/>
            <w:tcBorders>
              <w:top w:val="single" w:sz="4" w:space="0" w:color="808080" w:themeColor="background1" w:themeShade="80"/>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Office of Student Learning, Office of Institutional Research, Student Services Council</w:t>
            </w:r>
          </w:p>
        </w:tc>
      </w:tr>
      <w:tr w:rsidR="00D01099" w:rsidRPr="002D59B4" w:rsidTr="00D01099">
        <w:trPr>
          <w:jc w:val="center"/>
        </w:trPr>
        <w:tc>
          <w:tcPr>
            <w:tcW w:w="6167" w:type="dxa"/>
            <w:gridSpan w:val="2"/>
            <w:tcBorders>
              <w:top w:val="nil"/>
              <w:left w:val="single" w:sz="4" w:space="0" w:color="808080" w:themeColor="background1" w:themeShade="80"/>
              <w:bottom w:val="nil"/>
              <w:right w:val="nil"/>
            </w:tcBorders>
          </w:tcPr>
          <w:p w:rsidR="009C6909" w:rsidRPr="009C6909" w:rsidRDefault="009C6909" w:rsidP="00F77F14">
            <w:pPr>
              <w:rPr>
                <w:rFonts w:cs="Times New Roman"/>
                <w:sz w:val="20"/>
                <w:szCs w:val="20"/>
              </w:rPr>
            </w:pPr>
            <w:r w:rsidRPr="009C6909">
              <w:rPr>
                <w:rFonts w:cs="Times New Roman"/>
                <w:sz w:val="20"/>
                <w:szCs w:val="20"/>
              </w:rPr>
              <w:t>Using the “last date of attendance” reporting, analyze whether or not students are attempting to complete the course or if they are “stopping-out” mid-semester.</w:t>
            </w:r>
            <w:r w:rsidR="00256D9A">
              <w:rPr>
                <w:rFonts w:cs="Times New Roman"/>
                <w:sz w:val="20"/>
                <w:szCs w:val="20"/>
              </w:rPr>
              <w:t xml:space="preserve"> (G-1) (G-2)</w:t>
            </w:r>
          </w:p>
        </w:tc>
        <w:tc>
          <w:tcPr>
            <w:tcW w:w="1260" w:type="dxa"/>
            <w:tcBorders>
              <w:top w:val="nil"/>
              <w:left w:val="nil"/>
              <w:bottom w:val="nil"/>
              <w:right w:val="nil"/>
            </w:tcBorders>
          </w:tcPr>
          <w:p w:rsidR="009C6909" w:rsidRPr="009C6909" w:rsidRDefault="009C6909" w:rsidP="00F77F14">
            <w:pPr>
              <w:rPr>
                <w:rFonts w:cs="Times New Roman"/>
                <w:sz w:val="20"/>
                <w:szCs w:val="20"/>
              </w:rPr>
            </w:pPr>
            <w:r w:rsidRPr="009C6909">
              <w:rPr>
                <w:rFonts w:cs="Times New Roman"/>
                <w:sz w:val="20"/>
                <w:szCs w:val="20"/>
              </w:rPr>
              <w:t>Year 3:</w:t>
            </w:r>
          </w:p>
          <w:p w:rsidR="009C6909" w:rsidRPr="009C6909" w:rsidRDefault="009C6909" w:rsidP="00F77F14">
            <w:pPr>
              <w:rPr>
                <w:rFonts w:cs="Times New Roman"/>
                <w:sz w:val="20"/>
                <w:szCs w:val="20"/>
              </w:rPr>
            </w:pPr>
            <w:r w:rsidRPr="009C6909">
              <w:rPr>
                <w:rFonts w:cs="Times New Roman"/>
                <w:sz w:val="20"/>
                <w:szCs w:val="20"/>
              </w:rPr>
              <w:t>2016-2017</w:t>
            </w:r>
          </w:p>
        </w:tc>
        <w:tc>
          <w:tcPr>
            <w:tcW w:w="3827" w:type="dxa"/>
            <w:tcBorders>
              <w:top w:val="nil"/>
              <w:left w:val="nil"/>
              <w:bottom w:val="nil"/>
              <w:right w:val="single" w:sz="4" w:space="0" w:color="808080" w:themeColor="background1" w:themeShade="80"/>
            </w:tcBorders>
          </w:tcPr>
          <w:p w:rsidR="009C6909" w:rsidRPr="009C6909" w:rsidRDefault="009C6909" w:rsidP="00F77F14">
            <w:pPr>
              <w:rPr>
                <w:rFonts w:cs="Times New Roman"/>
                <w:sz w:val="20"/>
                <w:szCs w:val="20"/>
              </w:rPr>
            </w:pPr>
            <w:r w:rsidRPr="009C6909">
              <w:rPr>
                <w:rFonts w:cs="Times New Roman"/>
                <w:sz w:val="20"/>
                <w:szCs w:val="20"/>
              </w:rPr>
              <w:t>Office of Student Learning, Office of Institutional Research, Registrar</w:t>
            </w:r>
          </w:p>
        </w:tc>
      </w:tr>
    </w:tbl>
    <w:p w:rsidR="0045061D" w:rsidRDefault="0045061D" w:rsidP="00C52596"/>
    <w:p w:rsidR="0045061D" w:rsidRDefault="0045061D" w:rsidP="0045061D">
      <w:r>
        <w:br w:type="page"/>
      </w:r>
    </w:p>
    <w:tbl>
      <w:tblPr>
        <w:tblStyle w:val="TableGrid"/>
        <w:tblW w:w="0" w:type="auto"/>
        <w:jc w:val="center"/>
        <w:tblInd w:w="-2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990"/>
        <w:gridCol w:w="1260"/>
        <w:gridCol w:w="3827"/>
      </w:tblGrid>
      <w:tr w:rsidR="0045061D" w:rsidTr="00153991">
        <w:trPr>
          <w:jc w:val="center"/>
        </w:trPr>
        <w:tc>
          <w:tcPr>
            <w:tcW w:w="5177" w:type="dxa"/>
            <w:shd w:val="clear" w:color="auto" w:fill="DBE5F1" w:themeFill="accent1" w:themeFillTint="33"/>
            <w:vAlign w:val="bottom"/>
          </w:tcPr>
          <w:p w:rsidR="0045061D" w:rsidRDefault="0045061D" w:rsidP="00F77F14">
            <w:pPr>
              <w:pStyle w:val="Heading3"/>
              <w:spacing w:before="120"/>
            </w:pPr>
            <w:r>
              <w:lastRenderedPageBreak/>
              <w:t>Indicator</w:t>
            </w:r>
            <w:r w:rsidR="00153991">
              <w:t>:  ESL and Basic Skills Completion</w:t>
            </w:r>
          </w:p>
        </w:tc>
        <w:tc>
          <w:tcPr>
            <w:tcW w:w="6077" w:type="dxa"/>
            <w:gridSpan w:val="3"/>
            <w:shd w:val="clear" w:color="auto" w:fill="DBE5F1" w:themeFill="accent1" w:themeFillTint="33"/>
            <w:vAlign w:val="bottom"/>
          </w:tcPr>
          <w:p w:rsidR="0045061D" w:rsidRDefault="0045061D" w:rsidP="00F77F14">
            <w:pPr>
              <w:pStyle w:val="Heading3"/>
              <w:spacing w:before="120"/>
            </w:pPr>
            <w:r>
              <w:t>Campus Based Research</w:t>
            </w:r>
          </w:p>
        </w:tc>
      </w:tr>
      <w:tr w:rsidR="0045061D" w:rsidTr="00153991">
        <w:trPr>
          <w:jc w:val="center"/>
        </w:trPr>
        <w:tc>
          <w:tcPr>
            <w:tcW w:w="5177" w:type="dxa"/>
            <w:tcBorders>
              <w:bottom w:val="single" w:sz="4" w:space="0" w:color="808080" w:themeColor="background1" w:themeShade="80"/>
            </w:tcBorders>
          </w:tcPr>
          <w:p w:rsidR="0045061D" w:rsidRPr="009C6909" w:rsidRDefault="009C6909" w:rsidP="00F77F14">
            <w:pPr>
              <w:pStyle w:val="Header"/>
              <w:tabs>
                <w:tab w:val="clear" w:pos="4320"/>
                <w:tab w:val="clear" w:pos="8640"/>
              </w:tabs>
              <w:rPr>
                <w:rFonts w:asciiTheme="minorHAnsi" w:hAnsiTheme="minorHAnsi"/>
                <w:iCs/>
                <w:sz w:val="20"/>
              </w:rPr>
            </w:pPr>
            <w:r w:rsidRPr="009C6909">
              <w:rPr>
                <w:rFonts w:asciiTheme="minorHAnsi" w:hAnsiTheme="minorHAnsi"/>
                <w:iCs/>
                <w:sz w:val="20"/>
              </w:rPr>
              <w:t>Ratio of the number of students by population group who complete a college-level course having completed the final ESL or Basic Skills course to the number of those students who did not complete such a final course.</w:t>
            </w:r>
          </w:p>
        </w:tc>
        <w:tc>
          <w:tcPr>
            <w:tcW w:w="6077" w:type="dxa"/>
            <w:gridSpan w:val="3"/>
            <w:tcBorders>
              <w:bottom w:val="single" w:sz="4" w:space="0" w:color="808080" w:themeColor="background1" w:themeShade="80"/>
            </w:tcBorders>
          </w:tcPr>
          <w:p w:rsidR="0045061D" w:rsidRDefault="0043011E" w:rsidP="002B65B9">
            <w:pPr>
              <w:pStyle w:val="ListParagraph"/>
              <w:numPr>
                <w:ilvl w:val="0"/>
                <w:numId w:val="8"/>
              </w:numPr>
              <w:spacing w:after="120"/>
              <w:ind w:left="162" w:hanging="180"/>
              <w:rPr>
                <w:rFonts w:cs="Times New Roman"/>
                <w:sz w:val="20"/>
                <w:szCs w:val="20"/>
              </w:rPr>
            </w:pPr>
            <w:r w:rsidRPr="002B65B9">
              <w:rPr>
                <w:rFonts w:cs="Times New Roman"/>
                <w:sz w:val="20"/>
                <w:szCs w:val="20"/>
              </w:rPr>
              <w:t xml:space="preserve">There is no disproportionate impact shown when comparing the high level groups of Non-White and White students for </w:t>
            </w:r>
            <w:r w:rsidR="002B65B9">
              <w:rPr>
                <w:rFonts w:cs="Times New Roman"/>
                <w:sz w:val="20"/>
                <w:szCs w:val="20"/>
              </w:rPr>
              <w:t>Basic Skills</w:t>
            </w:r>
            <w:r w:rsidRPr="002B65B9">
              <w:rPr>
                <w:rFonts w:cs="Times New Roman"/>
                <w:sz w:val="20"/>
                <w:szCs w:val="20"/>
              </w:rPr>
              <w:t xml:space="preserve"> Completion.</w:t>
            </w:r>
          </w:p>
          <w:p w:rsidR="002B65B9" w:rsidRDefault="002B65B9" w:rsidP="002B65B9">
            <w:pPr>
              <w:pStyle w:val="ListParagraph"/>
              <w:numPr>
                <w:ilvl w:val="0"/>
                <w:numId w:val="8"/>
              </w:numPr>
              <w:spacing w:after="120"/>
              <w:ind w:left="162" w:hanging="180"/>
              <w:rPr>
                <w:rFonts w:cs="Times New Roman"/>
                <w:sz w:val="20"/>
                <w:szCs w:val="20"/>
              </w:rPr>
            </w:pPr>
            <w:r w:rsidRPr="002B65B9">
              <w:rPr>
                <w:rFonts w:cs="Times New Roman"/>
                <w:sz w:val="20"/>
                <w:szCs w:val="20"/>
              </w:rPr>
              <w:t xml:space="preserve">The data indicate that </w:t>
            </w:r>
            <w:r>
              <w:rPr>
                <w:rFonts w:cs="Times New Roman"/>
                <w:sz w:val="20"/>
                <w:szCs w:val="20"/>
              </w:rPr>
              <w:t>m</w:t>
            </w:r>
            <w:r w:rsidRPr="002B65B9">
              <w:rPr>
                <w:rFonts w:cs="Times New Roman"/>
                <w:sz w:val="20"/>
                <w:szCs w:val="20"/>
              </w:rPr>
              <w:t xml:space="preserve">ale students, with a 35 percent Remedial Math Completion rate, experience a disproportionate impact as compared to the English Completion rate of </w:t>
            </w:r>
            <w:r>
              <w:rPr>
                <w:rFonts w:cs="Times New Roman"/>
                <w:sz w:val="20"/>
                <w:szCs w:val="20"/>
              </w:rPr>
              <w:t>f</w:t>
            </w:r>
            <w:r w:rsidRPr="002B65B9">
              <w:rPr>
                <w:rFonts w:cs="Times New Roman"/>
                <w:sz w:val="20"/>
                <w:szCs w:val="20"/>
              </w:rPr>
              <w:t>emale students</w:t>
            </w:r>
            <w:r>
              <w:rPr>
                <w:rFonts w:cs="Times New Roman"/>
                <w:sz w:val="20"/>
                <w:szCs w:val="20"/>
              </w:rPr>
              <w:t>.</w:t>
            </w:r>
          </w:p>
          <w:p w:rsidR="002B65B9" w:rsidRDefault="002B65B9" w:rsidP="002B65B9">
            <w:pPr>
              <w:pStyle w:val="ListParagraph"/>
              <w:numPr>
                <w:ilvl w:val="0"/>
                <w:numId w:val="8"/>
              </w:numPr>
              <w:spacing w:after="120"/>
              <w:ind w:left="162" w:hanging="180"/>
              <w:rPr>
                <w:rFonts w:cs="Times New Roman"/>
                <w:sz w:val="20"/>
                <w:szCs w:val="20"/>
              </w:rPr>
            </w:pPr>
            <w:r w:rsidRPr="002B65B9">
              <w:rPr>
                <w:rFonts w:cs="Times New Roman"/>
                <w:sz w:val="20"/>
                <w:szCs w:val="20"/>
              </w:rPr>
              <w:t xml:space="preserve">Students aged 20 to 24 achieved only 74 percent as well as students aged 19 or less. </w:t>
            </w:r>
          </w:p>
          <w:p w:rsidR="002B65B9" w:rsidRPr="002B65B9" w:rsidRDefault="002B65B9" w:rsidP="002B65B9">
            <w:pPr>
              <w:pStyle w:val="ListParagraph"/>
              <w:numPr>
                <w:ilvl w:val="0"/>
                <w:numId w:val="8"/>
              </w:numPr>
              <w:spacing w:after="120"/>
              <w:ind w:left="162" w:hanging="180"/>
              <w:rPr>
                <w:rFonts w:cs="Times New Roman"/>
                <w:sz w:val="20"/>
                <w:szCs w:val="20"/>
              </w:rPr>
            </w:pPr>
            <w:r w:rsidRPr="002B65B9">
              <w:rPr>
                <w:rFonts w:cs="Times New Roman"/>
                <w:sz w:val="20"/>
                <w:szCs w:val="20"/>
              </w:rPr>
              <w:t>The data indicate that Hispanic students experience a disproportionate impact as compared to the outcome rate of White students in ESL Completion. Hispanic students achieved only 55 percent as well as the White students.</w:t>
            </w:r>
            <w:r>
              <w:rPr>
                <w:rFonts w:cs="Arial"/>
              </w:rPr>
              <w:t xml:space="preserve"> </w:t>
            </w:r>
          </w:p>
        </w:tc>
      </w:tr>
      <w:tr w:rsidR="0045061D" w:rsidTr="00153991">
        <w:trPr>
          <w:jc w:val="center"/>
        </w:trPr>
        <w:tc>
          <w:tcPr>
            <w:tcW w:w="5177" w:type="dxa"/>
            <w:shd w:val="clear" w:color="auto" w:fill="DBE5F1" w:themeFill="accent1" w:themeFillTint="33"/>
            <w:vAlign w:val="bottom"/>
          </w:tcPr>
          <w:p w:rsidR="0045061D" w:rsidRDefault="0045061D" w:rsidP="00F77F14">
            <w:pPr>
              <w:pStyle w:val="Heading3"/>
              <w:spacing w:before="120"/>
            </w:pPr>
            <w:r>
              <w:t>Goals</w:t>
            </w:r>
          </w:p>
        </w:tc>
        <w:tc>
          <w:tcPr>
            <w:tcW w:w="6077" w:type="dxa"/>
            <w:gridSpan w:val="3"/>
            <w:shd w:val="clear" w:color="auto" w:fill="DBE5F1" w:themeFill="accent1" w:themeFillTint="33"/>
            <w:vAlign w:val="bottom"/>
          </w:tcPr>
          <w:p w:rsidR="0045061D" w:rsidRDefault="0045061D" w:rsidP="00F77F14">
            <w:pPr>
              <w:pStyle w:val="Heading3"/>
              <w:spacing w:before="120"/>
            </w:pPr>
            <w:r>
              <w:t>Desired Outcomes</w:t>
            </w:r>
          </w:p>
        </w:tc>
      </w:tr>
      <w:tr w:rsidR="0045061D" w:rsidTr="00153991">
        <w:trPr>
          <w:jc w:val="center"/>
        </w:trPr>
        <w:tc>
          <w:tcPr>
            <w:tcW w:w="5177" w:type="dxa"/>
            <w:tcBorders>
              <w:bottom w:val="single" w:sz="4" w:space="0" w:color="808080" w:themeColor="background1" w:themeShade="80"/>
            </w:tcBorders>
          </w:tcPr>
          <w:p w:rsidR="0045061D" w:rsidRPr="00D55C11" w:rsidRDefault="00D55C11" w:rsidP="00D55C11">
            <w:pPr>
              <w:pStyle w:val="ListParagraph"/>
              <w:numPr>
                <w:ilvl w:val="0"/>
                <w:numId w:val="4"/>
              </w:numPr>
              <w:spacing w:after="120"/>
              <w:ind w:left="389"/>
              <w:contextualSpacing w:val="0"/>
              <w:rPr>
                <w:sz w:val="20"/>
                <w:szCs w:val="20"/>
              </w:rPr>
            </w:pPr>
            <w:r w:rsidRPr="00D55C11">
              <w:rPr>
                <w:sz w:val="20"/>
                <w:szCs w:val="20"/>
              </w:rPr>
              <w:t>Increase the number of male students who complete</w:t>
            </w:r>
            <w:r w:rsidRPr="00D55C11">
              <w:rPr>
                <w:iCs/>
                <w:sz w:val="20"/>
                <w:szCs w:val="20"/>
              </w:rPr>
              <w:t xml:space="preserve"> a degree-applicable course after having completed remedial math.</w:t>
            </w:r>
          </w:p>
          <w:p w:rsidR="00D55C11" w:rsidRPr="00D55C11" w:rsidRDefault="00D55C11" w:rsidP="00D55C11">
            <w:pPr>
              <w:pStyle w:val="ListParagraph"/>
              <w:numPr>
                <w:ilvl w:val="0"/>
                <w:numId w:val="4"/>
              </w:numPr>
              <w:spacing w:after="120"/>
              <w:ind w:left="389"/>
              <w:contextualSpacing w:val="0"/>
              <w:rPr>
                <w:sz w:val="20"/>
                <w:szCs w:val="20"/>
              </w:rPr>
            </w:pPr>
            <w:r w:rsidRPr="00D55C11">
              <w:rPr>
                <w:sz w:val="20"/>
                <w:szCs w:val="20"/>
              </w:rPr>
              <w:t>Increase the successful remedial English completion rate  of students age 20-24</w:t>
            </w:r>
          </w:p>
          <w:p w:rsidR="00D55C11" w:rsidRPr="0013655A" w:rsidRDefault="00D55C11" w:rsidP="00D55C11">
            <w:pPr>
              <w:pStyle w:val="ListParagraph"/>
              <w:numPr>
                <w:ilvl w:val="0"/>
                <w:numId w:val="4"/>
              </w:numPr>
              <w:spacing w:after="120"/>
              <w:ind w:left="389"/>
              <w:contextualSpacing w:val="0"/>
              <w:rPr>
                <w:sz w:val="20"/>
                <w:szCs w:val="20"/>
              </w:rPr>
            </w:pPr>
            <w:r w:rsidRPr="00D55C11">
              <w:rPr>
                <w:sz w:val="20"/>
                <w:szCs w:val="20"/>
              </w:rPr>
              <w:t>Increase the number of Hispanic students who successfully complete and ESL course and then take a transfer-level course.</w:t>
            </w:r>
          </w:p>
        </w:tc>
        <w:tc>
          <w:tcPr>
            <w:tcW w:w="6077" w:type="dxa"/>
            <w:gridSpan w:val="3"/>
            <w:tcBorders>
              <w:bottom w:val="single" w:sz="4" w:space="0" w:color="808080" w:themeColor="background1" w:themeShade="80"/>
            </w:tcBorders>
          </w:tcPr>
          <w:p w:rsidR="0045061D" w:rsidRPr="00D55C11" w:rsidRDefault="00D55C11" w:rsidP="00F77F14">
            <w:pPr>
              <w:pStyle w:val="ListParagraph"/>
              <w:numPr>
                <w:ilvl w:val="0"/>
                <w:numId w:val="1"/>
              </w:numPr>
              <w:spacing w:after="120"/>
              <w:ind w:left="187" w:hanging="187"/>
              <w:contextualSpacing w:val="0"/>
              <w:rPr>
                <w:sz w:val="20"/>
                <w:szCs w:val="20"/>
              </w:rPr>
            </w:pPr>
            <w:r w:rsidRPr="00D55C11">
              <w:rPr>
                <w:rFonts w:cs="Times New Roman"/>
                <w:sz w:val="20"/>
                <w:szCs w:val="20"/>
              </w:rPr>
              <w:t xml:space="preserve">Successful course completion rates for </w:t>
            </w:r>
            <w:r>
              <w:rPr>
                <w:rFonts w:cs="Times New Roman"/>
                <w:sz w:val="20"/>
                <w:szCs w:val="20"/>
              </w:rPr>
              <w:t>m</w:t>
            </w:r>
            <w:r w:rsidRPr="00D55C11">
              <w:rPr>
                <w:rFonts w:cs="Times New Roman"/>
                <w:sz w:val="20"/>
                <w:szCs w:val="20"/>
              </w:rPr>
              <w:t>ale students will reach 37% within the next 3 years.</w:t>
            </w:r>
          </w:p>
          <w:p w:rsidR="00D55C11" w:rsidRPr="00D55C11" w:rsidRDefault="00D55C11" w:rsidP="00F77F14">
            <w:pPr>
              <w:pStyle w:val="ListParagraph"/>
              <w:numPr>
                <w:ilvl w:val="0"/>
                <w:numId w:val="1"/>
              </w:numPr>
              <w:spacing w:after="120"/>
              <w:ind w:left="187" w:hanging="187"/>
              <w:contextualSpacing w:val="0"/>
              <w:rPr>
                <w:sz w:val="20"/>
                <w:szCs w:val="20"/>
              </w:rPr>
            </w:pPr>
            <w:r w:rsidRPr="00D55C11">
              <w:rPr>
                <w:rFonts w:cs="Times New Roman"/>
                <w:sz w:val="20"/>
                <w:szCs w:val="20"/>
              </w:rPr>
              <w:t>Successful course completion rates for students age 20-24 will reach 47% within the next 3 years.</w:t>
            </w:r>
          </w:p>
          <w:p w:rsidR="00D55C11" w:rsidRPr="00F6128E" w:rsidRDefault="00D55C11" w:rsidP="00F77F14">
            <w:pPr>
              <w:pStyle w:val="ListParagraph"/>
              <w:numPr>
                <w:ilvl w:val="0"/>
                <w:numId w:val="1"/>
              </w:numPr>
              <w:spacing w:after="120"/>
              <w:ind w:left="187" w:hanging="187"/>
              <w:contextualSpacing w:val="0"/>
              <w:rPr>
                <w:sz w:val="20"/>
                <w:szCs w:val="20"/>
              </w:rPr>
            </w:pPr>
            <w:r w:rsidRPr="00D55C11">
              <w:rPr>
                <w:rFonts w:cs="Times New Roman"/>
                <w:sz w:val="20"/>
                <w:szCs w:val="20"/>
              </w:rPr>
              <w:t>Successful course completion rates for Hispanic students will reach 22% within the next 3 years.</w:t>
            </w:r>
          </w:p>
        </w:tc>
      </w:tr>
      <w:tr w:rsidR="0045061D" w:rsidTr="00400C8D">
        <w:trPr>
          <w:jc w:val="center"/>
        </w:trPr>
        <w:tc>
          <w:tcPr>
            <w:tcW w:w="6167" w:type="dxa"/>
            <w:gridSpan w:val="2"/>
            <w:tcBorders>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Activities from Equity Plan</w:t>
            </w:r>
          </w:p>
        </w:tc>
        <w:tc>
          <w:tcPr>
            <w:tcW w:w="1260" w:type="dxa"/>
            <w:tcBorders>
              <w:left w:val="nil"/>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Timeline</w:t>
            </w:r>
          </w:p>
        </w:tc>
        <w:tc>
          <w:tcPr>
            <w:tcW w:w="3827" w:type="dxa"/>
            <w:tcBorders>
              <w:left w:val="nil"/>
              <w:bottom w:val="single" w:sz="4" w:space="0" w:color="808080" w:themeColor="background1" w:themeShade="80"/>
            </w:tcBorders>
            <w:shd w:val="clear" w:color="auto" w:fill="DBE5F1" w:themeFill="accent1" w:themeFillTint="33"/>
            <w:vAlign w:val="bottom"/>
          </w:tcPr>
          <w:p w:rsidR="0045061D" w:rsidRDefault="0045061D" w:rsidP="00F77F14">
            <w:pPr>
              <w:pStyle w:val="Heading3"/>
              <w:spacing w:before="120"/>
            </w:pPr>
            <w:r>
              <w:t>Responsible Party</w:t>
            </w:r>
          </w:p>
        </w:tc>
      </w:tr>
      <w:tr w:rsidR="00CF793C" w:rsidRPr="00F6128E" w:rsidTr="00400C8D">
        <w:trPr>
          <w:jc w:val="center"/>
        </w:trPr>
        <w:tc>
          <w:tcPr>
            <w:tcW w:w="61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F793C" w:rsidRPr="00400C8D" w:rsidRDefault="00CF793C" w:rsidP="00CF793C">
            <w:pPr>
              <w:rPr>
                <w:rFonts w:cs="Times New Roman"/>
                <w:sz w:val="20"/>
                <w:szCs w:val="20"/>
              </w:rPr>
            </w:pPr>
            <w:r w:rsidRPr="00400C8D">
              <w:rPr>
                <w:rFonts w:cs="Times New Roman"/>
                <w:sz w:val="20"/>
                <w:szCs w:val="20"/>
              </w:rPr>
              <w:t>Analyze the completion data further to determine the ethnicity of students who are not completing remedial courses and/or degree-applicable courses after completing the final basic skills course.</w:t>
            </w:r>
          </w:p>
          <w:p w:rsidR="00CF793C" w:rsidRPr="00400C8D" w:rsidRDefault="00CF793C" w:rsidP="00CF793C">
            <w:pPr>
              <w:rPr>
                <w:rFonts w:cs="Times New Roman"/>
                <w:sz w:val="20"/>
                <w:szCs w:val="20"/>
              </w:rPr>
            </w:pPr>
            <w:r w:rsidRPr="00400C8D">
              <w:rPr>
                <w:rFonts w:cs="Times New Roman"/>
                <w:sz w:val="20"/>
                <w:szCs w:val="20"/>
              </w:rPr>
              <w:t>Additional Research Questions:</w:t>
            </w:r>
          </w:p>
          <w:p w:rsidR="00CF793C" w:rsidRPr="00400C8D" w:rsidRDefault="00CF793C" w:rsidP="00CF793C">
            <w:pPr>
              <w:pStyle w:val="ListParagraph"/>
              <w:numPr>
                <w:ilvl w:val="0"/>
                <w:numId w:val="5"/>
              </w:numPr>
              <w:ind w:left="569" w:hanging="209"/>
              <w:rPr>
                <w:rFonts w:cs="Times New Roman"/>
                <w:sz w:val="20"/>
                <w:szCs w:val="20"/>
              </w:rPr>
            </w:pPr>
            <w:r w:rsidRPr="00400C8D">
              <w:rPr>
                <w:rFonts w:cs="Times New Roman"/>
                <w:sz w:val="20"/>
                <w:szCs w:val="20"/>
              </w:rPr>
              <w:t>Is there a correlation between the Filipino or Hispanic student population and gender in Basic Skills Math data? (G-1)</w:t>
            </w:r>
          </w:p>
          <w:p w:rsidR="00CF793C" w:rsidRDefault="00CF793C" w:rsidP="00CF793C">
            <w:pPr>
              <w:pStyle w:val="ListParagraph"/>
              <w:numPr>
                <w:ilvl w:val="0"/>
                <w:numId w:val="5"/>
              </w:numPr>
              <w:ind w:left="569" w:hanging="209"/>
              <w:rPr>
                <w:rFonts w:cs="Times New Roman"/>
                <w:sz w:val="20"/>
                <w:szCs w:val="20"/>
              </w:rPr>
            </w:pPr>
            <w:r w:rsidRPr="00400C8D">
              <w:rPr>
                <w:rFonts w:cs="Times New Roman"/>
                <w:sz w:val="20"/>
                <w:szCs w:val="20"/>
              </w:rPr>
              <w:t>Is there a correlation between age and ethnicity in Basic Skills English data?</w:t>
            </w:r>
            <w:r w:rsidR="00400C8D">
              <w:rPr>
                <w:rFonts w:cs="Times New Roman"/>
                <w:sz w:val="20"/>
                <w:szCs w:val="20"/>
              </w:rPr>
              <w:t xml:space="preserve"> (G-2)</w:t>
            </w:r>
          </w:p>
          <w:p w:rsidR="00400C8D" w:rsidRPr="00400C8D" w:rsidRDefault="00400C8D" w:rsidP="00400C8D">
            <w:pPr>
              <w:pStyle w:val="ListParagraph"/>
              <w:numPr>
                <w:ilvl w:val="0"/>
                <w:numId w:val="5"/>
              </w:numPr>
              <w:ind w:left="569" w:hanging="209"/>
              <w:rPr>
                <w:rFonts w:cs="Times New Roman"/>
                <w:sz w:val="20"/>
                <w:szCs w:val="20"/>
              </w:rPr>
            </w:pPr>
            <w:r>
              <w:rPr>
                <w:rFonts w:cs="Times New Roman"/>
                <w:sz w:val="20"/>
                <w:szCs w:val="20"/>
              </w:rPr>
              <w:t>Is there a correlation between the Hispanic student population and age in ESL data? (G-3)</w:t>
            </w:r>
          </w:p>
        </w:tc>
        <w:tc>
          <w:tcPr>
            <w:tcW w:w="1260" w:type="dxa"/>
            <w:tcBorders>
              <w:top w:val="single" w:sz="4" w:space="0" w:color="808080" w:themeColor="background1" w:themeShade="80"/>
              <w:left w:val="nil"/>
              <w:bottom w:val="single" w:sz="4" w:space="0" w:color="808080" w:themeColor="background1" w:themeShade="80"/>
              <w:right w:val="nil"/>
            </w:tcBorders>
          </w:tcPr>
          <w:p w:rsidR="00CF793C" w:rsidRPr="00400C8D" w:rsidRDefault="00CF793C" w:rsidP="00F77F14">
            <w:pPr>
              <w:rPr>
                <w:rFonts w:cs="Times New Roman"/>
                <w:sz w:val="20"/>
                <w:szCs w:val="20"/>
              </w:rPr>
            </w:pPr>
            <w:r w:rsidRPr="00400C8D">
              <w:rPr>
                <w:rFonts w:cs="Times New Roman"/>
                <w:sz w:val="20"/>
                <w:szCs w:val="20"/>
              </w:rPr>
              <w:t>Year 1:</w:t>
            </w:r>
          </w:p>
          <w:p w:rsidR="00CF793C" w:rsidRPr="00400C8D" w:rsidRDefault="00CF793C" w:rsidP="00F77F14">
            <w:pPr>
              <w:rPr>
                <w:rFonts w:cs="Times New Roman"/>
                <w:sz w:val="20"/>
                <w:szCs w:val="20"/>
              </w:rPr>
            </w:pPr>
            <w:r w:rsidRPr="00400C8D">
              <w:rPr>
                <w:rFonts w:cs="Times New Roman"/>
                <w:sz w:val="20"/>
                <w:szCs w:val="20"/>
              </w:rPr>
              <w:t>2014-2015</w:t>
            </w:r>
          </w:p>
        </w:tc>
        <w:tc>
          <w:tcPr>
            <w:tcW w:w="38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F793C" w:rsidRPr="00400C8D" w:rsidRDefault="00CF793C" w:rsidP="00F77F14">
            <w:pPr>
              <w:rPr>
                <w:rFonts w:cs="Times New Roman"/>
                <w:sz w:val="20"/>
                <w:szCs w:val="20"/>
              </w:rPr>
            </w:pPr>
            <w:r w:rsidRPr="00400C8D">
              <w:rPr>
                <w:rFonts w:cs="Times New Roman"/>
                <w:sz w:val="20"/>
                <w:szCs w:val="20"/>
              </w:rPr>
              <w:t>Basic Skills Committee, Math faculty, Office of Institutional Research</w:t>
            </w:r>
          </w:p>
        </w:tc>
      </w:tr>
      <w:tr w:rsidR="00400C8D" w:rsidRPr="002D59B4" w:rsidTr="00400C8D">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CF793C" w:rsidRPr="00400C8D" w:rsidRDefault="00CF793C" w:rsidP="00F77F14">
            <w:pPr>
              <w:rPr>
                <w:rFonts w:cs="Times New Roman"/>
                <w:sz w:val="20"/>
                <w:szCs w:val="20"/>
              </w:rPr>
            </w:pPr>
            <w:r w:rsidRPr="00400C8D">
              <w:rPr>
                <w:rFonts w:cs="Times New Roman"/>
                <w:sz w:val="20"/>
                <w:szCs w:val="20"/>
              </w:rPr>
              <w:t>Develop remedial math cohorts to improve student engagement that include focused counseling and supplemental instruction. (G-1)</w:t>
            </w:r>
          </w:p>
        </w:tc>
        <w:tc>
          <w:tcPr>
            <w:tcW w:w="1260" w:type="dxa"/>
            <w:tcBorders>
              <w:top w:val="single" w:sz="4" w:space="0" w:color="808080" w:themeColor="background1" w:themeShade="80"/>
              <w:left w:val="nil"/>
              <w:bottom w:val="nil"/>
              <w:right w:val="nil"/>
            </w:tcBorders>
          </w:tcPr>
          <w:p w:rsidR="00CF793C" w:rsidRPr="00400C8D" w:rsidRDefault="00CF793C" w:rsidP="00F77F14">
            <w:pPr>
              <w:rPr>
                <w:rFonts w:cs="Times New Roman"/>
                <w:sz w:val="20"/>
                <w:szCs w:val="20"/>
              </w:rPr>
            </w:pPr>
            <w:r w:rsidRPr="00400C8D">
              <w:rPr>
                <w:rFonts w:cs="Times New Roman"/>
                <w:sz w:val="20"/>
                <w:szCs w:val="20"/>
              </w:rPr>
              <w:t>Year 2:</w:t>
            </w:r>
          </w:p>
          <w:p w:rsidR="00CF793C" w:rsidRPr="00400C8D" w:rsidRDefault="00CF793C" w:rsidP="00F77F14">
            <w:pPr>
              <w:rPr>
                <w:rFonts w:cs="Times New Roman"/>
                <w:sz w:val="20"/>
                <w:szCs w:val="20"/>
              </w:rPr>
            </w:pPr>
            <w:r w:rsidRPr="00400C8D">
              <w:rPr>
                <w:rFonts w:cs="Times New Roman"/>
                <w:sz w:val="20"/>
                <w:szCs w:val="20"/>
              </w:rPr>
              <w:t>2015-2016</w:t>
            </w:r>
          </w:p>
        </w:tc>
        <w:tc>
          <w:tcPr>
            <w:tcW w:w="3827" w:type="dxa"/>
            <w:tcBorders>
              <w:top w:val="single" w:sz="4" w:space="0" w:color="808080" w:themeColor="background1" w:themeShade="80"/>
              <w:left w:val="nil"/>
              <w:bottom w:val="nil"/>
              <w:right w:val="single" w:sz="4" w:space="0" w:color="808080" w:themeColor="background1" w:themeShade="80"/>
            </w:tcBorders>
          </w:tcPr>
          <w:p w:rsidR="00CF793C" w:rsidRPr="00400C8D" w:rsidRDefault="00CF793C" w:rsidP="00F77F14">
            <w:pPr>
              <w:rPr>
                <w:rFonts w:cs="Times New Roman"/>
                <w:sz w:val="20"/>
                <w:szCs w:val="20"/>
              </w:rPr>
            </w:pPr>
            <w:r w:rsidRPr="00400C8D">
              <w:rPr>
                <w:rFonts w:cs="Times New Roman"/>
                <w:sz w:val="20"/>
                <w:szCs w:val="20"/>
              </w:rPr>
              <w:t>Basic Skills Committee, Math faculty</w:t>
            </w:r>
          </w:p>
        </w:tc>
      </w:tr>
      <w:tr w:rsidR="00400C8D" w:rsidRPr="002D59B4" w:rsidTr="00400C8D">
        <w:trPr>
          <w:jc w:val="center"/>
        </w:trPr>
        <w:tc>
          <w:tcPr>
            <w:tcW w:w="6167" w:type="dxa"/>
            <w:gridSpan w:val="2"/>
            <w:tcBorders>
              <w:top w:val="nil"/>
              <w:left w:val="single" w:sz="4" w:space="0" w:color="808080" w:themeColor="background1" w:themeShade="80"/>
              <w:bottom w:val="nil"/>
              <w:right w:val="nil"/>
            </w:tcBorders>
          </w:tcPr>
          <w:p w:rsidR="00400C8D" w:rsidRPr="00400C8D" w:rsidRDefault="00400C8D" w:rsidP="00396A09">
            <w:pPr>
              <w:rPr>
                <w:rFonts w:cs="Times New Roman"/>
                <w:sz w:val="20"/>
                <w:szCs w:val="20"/>
              </w:rPr>
            </w:pPr>
            <w:r w:rsidRPr="00400C8D">
              <w:rPr>
                <w:rFonts w:cs="Times New Roman"/>
                <w:sz w:val="20"/>
                <w:szCs w:val="20"/>
              </w:rPr>
              <w:t>Develop remedial English cohorts to improve student engagement that include focused counseling and supplemental instruction.</w:t>
            </w:r>
            <w:r>
              <w:rPr>
                <w:rFonts w:cs="Times New Roman"/>
                <w:sz w:val="20"/>
                <w:szCs w:val="20"/>
              </w:rPr>
              <w:t xml:space="preserve"> (G-2)</w:t>
            </w:r>
          </w:p>
        </w:tc>
        <w:tc>
          <w:tcPr>
            <w:tcW w:w="1260" w:type="dxa"/>
            <w:tcBorders>
              <w:top w:val="nil"/>
              <w:left w:val="nil"/>
              <w:bottom w:val="nil"/>
              <w:right w:val="nil"/>
            </w:tcBorders>
          </w:tcPr>
          <w:p w:rsidR="00400C8D" w:rsidRPr="00400C8D" w:rsidRDefault="00400C8D" w:rsidP="00396A09">
            <w:pPr>
              <w:rPr>
                <w:rFonts w:cs="Times New Roman"/>
                <w:sz w:val="20"/>
                <w:szCs w:val="20"/>
              </w:rPr>
            </w:pPr>
            <w:r w:rsidRPr="00400C8D">
              <w:rPr>
                <w:rFonts w:cs="Times New Roman"/>
                <w:sz w:val="20"/>
                <w:szCs w:val="20"/>
              </w:rPr>
              <w:t>Year 2:</w:t>
            </w:r>
          </w:p>
          <w:p w:rsidR="00400C8D" w:rsidRPr="00400C8D" w:rsidRDefault="00400C8D" w:rsidP="00396A09">
            <w:pPr>
              <w:rPr>
                <w:rFonts w:cs="Times New Roman"/>
                <w:sz w:val="20"/>
                <w:szCs w:val="20"/>
              </w:rPr>
            </w:pPr>
            <w:r w:rsidRPr="00400C8D">
              <w:rPr>
                <w:rFonts w:cs="Times New Roman"/>
                <w:sz w:val="20"/>
                <w:szCs w:val="20"/>
              </w:rPr>
              <w:t>2015-2016</w:t>
            </w:r>
          </w:p>
        </w:tc>
        <w:tc>
          <w:tcPr>
            <w:tcW w:w="3827" w:type="dxa"/>
            <w:tcBorders>
              <w:top w:val="nil"/>
              <w:left w:val="nil"/>
              <w:bottom w:val="nil"/>
              <w:right w:val="single" w:sz="4" w:space="0" w:color="808080" w:themeColor="background1" w:themeShade="80"/>
            </w:tcBorders>
          </w:tcPr>
          <w:p w:rsidR="00400C8D" w:rsidRPr="00400C8D" w:rsidRDefault="00400C8D" w:rsidP="00396A09">
            <w:pPr>
              <w:rPr>
                <w:rFonts w:cs="Times New Roman"/>
                <w:sz w:val="20"/>
                <w:szCs w:val="20"/>
              </w:rPr>
            </w:pPr>
            <w:r w:rsidRPr="00400C8D">
              <w:rPr>
                <w:rFonts w:cs="Times New Roman"/>
                <w:sz w:val="20"/>
                <w:szCs w:val="20"/>
              </w:rPr>
              <w:t>Basic Skills Committee, English faculty</w:t>
            </w:r>
          </w:p>
        </w:tc>
      </w:tr>
      <w:tr w:rsidR="00400C8D" w:rsidRPr="002D59B4" w:rsidTr="00400C8D">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400C8D" w:rsidRPr="00400C8D" w:rsidRDefault="00400C8D" w:rsidP="00F77F14">
            <w:pPr>
              <w:rPr>
                <w:rFonts w:cs="Times New Roman"/>
                <w:sz w:val="20"/>
                <w:szCs w:val="20"/>
              </w:rPr>
            </w:pPr>
            <w:r w:rsidRPr="00400C8D">
              <w:rPr>
                <w:rFonts w:cs="Times New Roman"/>
                <w:sz w:val="20"/>
                <w:szCs w:val="20"/>
              </w:rPr>
              <w:t>Survey students taking ESL courses to determine their course goals (or purpose for taking the course)</w:t>
            </w:r>
          </w:p>
        </w:tc>
        <w:tc>
          <w:tcPr>
            <w:tcW w:w="1260" w:type="dxa"/>
            <w:tcBorders>
              <w:top w:val="nil"/>
              <w:left w:val="nil"/>
              <w:bottom w:val="single" w:sz="4" w:space="0" w:color="808080" w:themeColor="background1" w:themeShade="80"/>
              <w:right w:val="nil"/>
            </w:tcBorders>
          </w:tcPr>
          <w:p w:rsidR="00400C8D" w:rsidRPr="00400C8D" w:rsidRDefault="00400C8D" w:rsidP="00F77F14">
            <w:pPr>
              <w:rPr>
                <w:rFonts w:cs="Times New Roman"/>
                <w:sz w:val="20"/>
                <w:szCs w:val="20"/>
              </w:rPr>
            </w:pPr>
            <w:r w:rsidRPr="00400C8D">
              <w:rPr>
                <w:rFonts w:cs="Times New Roman"/>
                <w:sz w:val="20"/>
                <w:szCs w:val="20"/>
              </w:rPr>
              <w:t>Year 2:</w:t>
            </w:r>
          </w:p>
          <w:p w:rsidR="00400C8D" w:rsidRPr="00400C8D" w:rsidRDefault="00400C8D" w:rsidP="00F77F14">
            <w:pPr>
              <w:rPr>
                <w:rFonts w:cs="Times New Roman"/>
                <w:sz w:val="20"/>
                <w:szCs w:val="20"/>
              </w:rPr>
            </w:pPr>
            <w:r w:rsidRPr="00400C8D">
              <w:rPr>
                <w:rFonts w:cs="Times New Roman"/>
                <w:sz w:val="20"/>
                <w:szCs w:val="20"/>
              </w:rPr>
              <w:t>2015-2016</w:t>
            </w:r>
          </w:p>
        </w:tc>
        <w:tc>
          <w:tcPr>
            <w:tcW w:w="3827" w:type="dxa"/>
            <w:tcBorders>
              <w:top w:val="nil"/>
              <w:left w:val="nil"/>
              <w:bottom w:val="single" w:sz="4" w:space="0" w:color="808080" w:themeColor="background1" w:themeShade="80"/>
              <w:right w:val="single" w:sz="4" w:space="0" w:color="808080" w:themeColor="background1" w:themeShade="80"/>
            </w:tcBorders>
          </w:tcPr>
          <w:p w:rsidR="00400C8D" w:rsidRPr="00400C8D" w:rsidRDefault="00400C8D" w:rsidP="00F77F14">
            <w:pPr>
              <w:rPr>
                <w:rFonts w:cs="Times New Roman"/>
                <w:sz w:val="20"/>
                <w:szCs w:val="20"/>
              </w:rPr>
            </w:pPr>
            <w:r w:rsidRPr="00400C8D">
              <w:rPr>
                <w:rFonts w:cs="Times New Roman"/>
                <w:sz w:val="20"/>
                <w:szCs w:val="20"/>
              </w:rPr>
              <w:t>Basic Skills Committee, English faculty</w:t>
            </w:r>
          </w:p>
        </w:tc>
      </w:tr>
      <w:tr w:rsidR="00400C8D" w:rsidRPr="002D59B4" w:rsidTr="00400C8D">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400C8D" w:rsidRPr="00400C8D" w:rsidRDefault="00400C8D" w:rsidP="009E550B">
            <w:pPr>
              <w:rPr>
                <w:rFonts w:cs="Times New Roman"/>
                <w:sz w:val="20"/>
                <w:szCs w:val="20"/>
              </w:rPr>
            </w:pPr>
            <w:r w:rsidRPr="00400C8D">
              <w:rPr>
                <w:rFonts w:cs="Times New Roman"/>
                <w:sz w:val="20"/>
                <w:szCs w:val="20"/>
              </w:rPr>
              <w:t>Pilot accelerated program for remedial math. (G-1)</w:t>
            </w:r>
          </w:p>
        </w:tc>
        <w:tc>
          <w:tcPr>
            <w:tcW w:w="1260" w:type="dxa"/>
            <w:tcBorders>
              <w:top w:val="single" w:sz="4" w:space="0" w:color="808080" w:themeColor="background1" w:themeShade="80"/>
              <w:left w:val="nil"/>
              <w:bottom w:val="nil"/>
              <w:right w:val="nil"/>
            </w:tcBorders>
          </w:tcPr>
          <w:p w:rsidR="00400C8D" w:rsidRPr="00400C8D" w:rsidRDefault="00400C8D" w:rsidP="009E550B">
            <w:pPr>
              <w:rPr>
                <w:rFonts w:cs="Times New Roman"/>
                <w:sz w:val="20"/>
                <w:szCs w:val="20"/>
              </w:rPr>
            </w:pPr>
            <w:r w:rsidRPr="00400C8D">
              <w:rPr>
                <w:rFonts w:cs="Times New Roman"/>
                <w:sz w:val="20"/>
                <w:szCs w:val="20"/>
              </w:rPr>
              <w:t>Year 3:</w:t>
            </w:r>
          </w:p>
          <w:p w:rsidR="00400C8D" w:rsidRPr="00400C8D" w:rsidRDefault="00400C8D" w:rsidP="009E550B">
            <w:pPr>
              <w:rPr>
                <w:rFonts w:cs="Times New Roman"/>
                <w:sz w:val="20"/>
                <w:szCs w:val="20"/>
              </w:rPr>
            </w:pPr>
            <w:r w:rsidRPr="00400C8D">
              <w:rPr>
                <w:rFonts w:cs="Times New Roman"/>
                <w:sz w:val="20"/>
                <w:szCs w:val="20"/>
              </w:rPr>
              <w:t>2016-2017</w:t>
            </w:r>
          </w:p>
        </w:tc>
        <w:tc>
          <w:tcPr>
            <w:tcW w:w="3827" w:type="dxa"/>
            <w:tcBorders>
              <w:top w:val="single" w:sz="4" w:space="0" w:color="808080" w:themeColor="background1" w:themeShade="80"/>
              <w:left w:val="nil"/>
              <w:bottom w:val="nil"/>
              <w:right w:val="single" w:sz="4" w:space="0" w:color="808080" w:themeColor="background1" w:themeShade="80"/>
            </w:tcBorders>
          </w:tcPr>
          <w:p w:rsidR="00400C8D" w:rsidRPr="00400C8D" w:rsidRDefault="00400C8D" w:rsidP="009E550B">
            <w:pPr>
              <w:rPr>
                <w:rFonts w:cs="Times New Roman"/>
                <w:sz w:val="20"/>
                <w:szCs w:val="20"/>
              </w:rPr>
            </w:pPr>
            <w:r w:rsidRPr="00400C8D">
              <w:rPr>
                <w:rFonts w:cs="Times New Roman"/>
                <w:sz w:val="20"/>
                <w:szCs w:val="20"/>
              </w:rPr>
              <w:t>Math faculty</w:t>
            </w:r>
          </w:p>
        </w:tc>
      </w:tr>
      <w:tr w:rsidR="00400C8D" w:rsidRPr="002D59B4" w:rsidTr="00400C8D">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400C8D" w:rsidRPr="00400C8D" w:rsidRDefault="00400C8D" w:rsidP="00F77F14">
            <w:pPr>
              <w:rPr>
                <w:rFonts w:cs="Times New Roman"/>
                <w:sz w:val="20"/>
                <w:szCs w:val="20"/>
              </w:rPr>
            </w:pPr>
            <w:r w:rsidRPr="00400C8D">
              <w:rPr>
                <w:rFonts w:cs="Times New Roman"/>
                <w:sz w:val="20"/>
                <w:szCs w:val="20"/>
              </w:rPr>
              <w:t>Integrate student success strategies within remedial English classes</w:t>
            </w:r>
            <w:r>
              <w:rPr>
                <w:rFonts w:cs="Times New Roman"/>
                <w:sz w:val="20"/>
                <w:szCs w:val="20"/>
              </w:rPr>
              <w:t>. (G-2)</w:t>
            </w:r>
          </w:p>
        </w:tc>
        <w:tc>
          <w:tcPr>
            <w:tcW w:w="1260" w:type="dxa"/>
            <w:tcBorders>
              <w:top w:val="nil"/>
              <w:left w:val="nil"/>
              <w:bottom w:val="single" w:sz="4" w:space="0" w:color="808080" w:themeColor="background1" w:themeShade="80"/>
              <w:right w:val="nil"/>
            </w:tcBorders>
          </w:tcPr>
          <w:p w:rsidR="00400C8D" w:rsidRPr="00400C8D" w:rsidRDefault="00400C8D" w:rsidP="00F77F14">
            <w:pPr>
              <w:rPr>
                <w:rFonts w:cs="Times New Roman"/>
                <w:sz w:val="20"/>
                <w:szCs w:val="20"/>
              </w:rPr>
            </w:pPr>
            <w:r w:rsidRPr="00400C8D">
              <w:rPr>
                <w:rFonts w:cs="Times New Roman"/>
                <w:sz w:val="20"/>
                <w:szCs w:val="20"/>
              </w:rPr>
              <w:t>Year 3:</w:t>
            </w:r>
          </w:p>
          <w:p w:rsidR="00400C8D" w:rsidRPr="00400C8D" w:rsidRDefault="00400C8D" w:rsidP="00F77F14">
            <w:pPr>
              <w:rPr>
                <w:rFonts w:cs="Times New Roman"/>
                <w:sz w:val="20"/>
                <w:szCs w:val="20"/>
              </w:rPr>
            </w:pPr>
            <w:r w:rsidRPr="00400C8D">
              <w:rPr>
                <w:rFonts w:cs="Times New Roman"/>
                <w:sz w:val="20"/>
                <w:szCs w:val="20"/>
              </w:rPr>
              <w:t>2016-2017</w:t>
            </w:r>
          </w:p>
        </w:tc>
        <w:tc>
          <w:tcPr>
            <w:tcW w:w="3827" w:type="dxa"/>
            <w:tcBorders>
              <w:top w:val="nil"/>
              <w:left w:val="nil"/>
              <w:bottom w:val="single" w:sz="4" w:space="0" w:color="808080" w:themeColor="background1" w:themeShade="80"/>
              <w:right w:val="single" w:sz="4" w:space="0" w:color="808080" w:themeColor="background1" w:themeShade="80"/>
            </w:tcBorders>
          </w:tcPr>
          <w:p w:rsidR="00400C8D" w:rsidRPr="00400C8D" w:rsidRDefault="00400C8D" w:rsidP="00F77F14">
            <w:pPr>
              <w:rPr>
                <w:rFonts w:cs="Times New Roman"/>
                <w:sz w:val="20"/>
                <w:szCs w:val="20"/>
              </w:rPr>
            </w:pPr>
            <w:r w:rsidRPr="00400C8D">
              <w:rPr>
                <w:rFonts w:cs="Times New Roman"/>
                <w:sz w:val="20"/>
                <w:szCs w:val="20"/>
              </w:rPr>
              <w:t>English faculty</w:t>
            </w:r>
          </w:p>
        </w:tc>
      </w:tr>
    </w:tbl>
    <w:p w:rsidR="0045061D" w:rsidRDefault="0045061D" w:rsidP="00C52596"/>
    <w:p w:rsidR="0045061D" w:rsidRDefault="0045061D" w:rsidP="0045061D">
      <w:r>
        <w:br w:type="page"/>
      </w:r>
    </w:p>
    <w:tbl>
      <w:tblPr>
        <w:tblStyle w:val="TableGrid"/>
        <w:tblW w:w="0" w:type="auto"/>
        <w:jc w:val="center"/>
        <w:tblInd w:w="-2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990"/>
        <w:gridCol w:w="1260"/>
        <w:gridCol w:w="3827"/>
      </w:tblGrid>
      <w:tr w:rsidR="0045061D" w:rsidTr="00153991">
        <w:trPr>
          <w:jc w:val="center"/>
        </w:trPr>
        <w:tc>
          <w:tcPr>
            <w:tcW w:w="5177" w:type="dxa"/>
            <w:shd w:val="clear" w:color="auto" w:fill="DBE5F1" w:themeFill="accent1" w:themeFillTint="33"/>
            <w:vAlign w:val="bottom"/>
          </w:tcPr>
          <w:p w:rsidR="0045061D" w:rsidRDefault="0045061D" w:rsidP="00F77F14">
            <w:pPr>
              <w:pStyle w:val="Heading3"/>
              <w:spacing w:before="120"/>
            </w:pPr>
            <w:r>
              <w:lastRenderedPageBreak/>
              <w:t>Indicator</w:t>
            </w:r>
            <w:r w:rsidR="00153991">
              <w:t>:  Degree &amp; Certificate Completion</w:t>
            </w:r>
          </w:p>
        </w:tc>
        <w:tc>
          <w:tcPr>
            <w:tcW w:w="6077" w:type="dxa"/>
            <w:gridSpan w:val="3"/>
            <w:shd w:val="clear" w:color="auto" w:fill="DBE5F1" w:themeFill="accent1" w:themeFillTint="33"/>
            <w:vAlign w:val="bottom"/>
          </w:tcPr>
          <w:p w:rsidR="0045061D" w:rsidRDefault="0045061D" w:rsidP="00F77F14">
            <w:pPr>
              <w:pStyle w:val="Heading3"/>
              <w:spacing w:before="120"/>
            </w:pPr>
            <w:r>
              <w:t>Campus Based Research</w:t>
            </w:r>
          </w:p>
        </w:tc>
      </w:tr>
      <w:tr w:rsidR="0045061D" w:rsidTr="00153991">
        <w:trPr>
          <w:jc w:val="center"/>
        </w:trPr>
        <w:tc>
          <w:tcPr>
            <w:tcW w:w="5177" w:type="dxa"/>
            <w:tcBorders>
              <w:bottom w:val="single" w:sz="4" w:space="0" w:color="808080" w:themeColor="background1" w:themeShade="80"/>
            </w:tcBorders>
          </w:tcPr>
          <w:p w:rsidR="0045061D" w:rsidRPr="009C6909" w:rsidRDefault="009C6909" w:rsidP="009C6909">
            <w:pPr>
              <w:pStyle w:val="Header"/>
              <w:tabs>
                <w:tab w:val="clear" w:pos="4320"/>
                <w:tab w:val="clear" w:pos="8640"/>
              </w:tabs>
              <w:rPr>
                <w:rFonts w:asciiTheme="minorHAnsi" w:hAnsiTheme="minorHAnsi"/>
                <w:iCs/>
                <w:sz w:val="20"/>
              </w:rPr>
            </w:pPr>
            <w:r w:rsidRPr="009C6909">
              <w:rPr>
                <w:rFonts w:asciiTheme="minorHAnsi" w:hAnsiTheme="minorHAnsi"/>
                <w:iCs/>
                <w:sz w:val="20"/>
              </w:rPr>
              <w:t>Ratio of the # of 1</w:t>
            </w:r>
            <w:r w:rsidRPr="009C6909">
              <w:rPr>
                <w:rFonts w:asciiTheme="minorHAnsi" w:hAnsiTheme="minorHAnsi"/>
                <w:iCs/>
                <w:sz w:val="20"/>
                <w:vertAlign w:val="superscript"/>
              </w:rPr>
              <w:t>st</w:t>
            </w:r>
            <w:r w:rsidRPr="009C6909">
              <w:rPr>
                <w:rFonts w:asciiTheme="minorHAnsi" w:hAnsiTheme="minorHAnsi"/>
                <w:iCs/>
                <w:sz w:val="20"/>
              </w:rPr>
              <w:t>-time students with a minimum of 6 units earned and who attempted any math or English course in the first 3yrs by population group who receive a degree, certificate, transfer, or are transfer-ready compared to the number of students in that group who do not.</w:t>
            </w:r>
          </w:p>
        </w:tc>
        <w:tc>
          <w:tcPr>
            <w:tcW w:w="6077" w:type="dxa"/>
            <w:gridSpan w:val="3"/>
            <w:tcBorders>
              <w:bottom w:val="single" w:sz="4" w:space="0" w:color="808080" w:themeColor="background1" w:themeShade="80"/>
            </w:tcBorders>
          </w:tcPr>
          <w:p w:rsidR="00BE418B" w:rsidRPr="00BE418B" w:rsidRDefault="00BE418B" w:rsidP="00BE418B">
            <w:pPr>
              <w:pStyle w:val="Header"/>
              <w:tabs>
                <w:tab w:val="clear" w:pos="4320"/>
                <w:tab w:val="clear" w:pos="8640"/>
              </w:tabs>
              <w:rPr>
                <w:rFonts w:asciiTheme="minorHAnsi" w:hAnsiTheme="minorHAnsi"/>
                <w:iCs/>
                <w:sz w:val="20"/>
              </w:rPr>
            </w:pPr>
            <w:r w:rsidRPr="00BE418B">
              <w:rPr>
                <w:rFonts w:asciiTheme="minorHAnsi" w:hAnsiTheme="minorHAnsi"/>
                <w:iCs/>
                <w:sz w:val="20"/>
              </w:rPr>
              <w:t>The data indicate that Hispanic students, with a 49 percent completion rate, experience a disproportionate impact as compared to the outcome rate of White students.</w:t>
            </w:r>
            <w:r>
              <w:rPr>
                <w:rFonts w:asciiTheme="minorHAnsi" w:hAnsiTheme="minorHAnsi"/>
                <w:iCs/>
                <w:sz w:val="20"/>
              </w:rPr>
              <w:t xml:space="preserve"> </w:t>
            </w:r>
            <w:r w:rsidRPr="00BE418B">
              <w:rPr>
                <w:rFonts w:asciiTheme="minorHAnsi" w:hAnsiTheme="minorHAnsi"/>
                <w:iCs/>
                <w:sz w:val="20"/>
              </w:rPr>
              <w:t>Hispanic students achieved only 79 percent as well as the White students.</w:t>
            </w:r>
          </w:p>
          <w:p w:rsidR="0045061D" w:rsidRPr="00BE418B" w:rsidRDefault="0045061D" w:rsidP="00F77F14">
            <w:pPr>
              <w:spacing w:after="120"/>
              <w:ind w:left="58"/>
              <w:rPr>
                <w:rFonts w:eastAsia="Times New Roman" w:cs="Times New Roman"/>
                <w:iCs/>
                <w:sz w:val="20"/>
                <w:szCs w:val="20"/>
              </w:rPr>
            </w:pPr>
          </w:p>
        </w:tc>
      </w:tr>
      <w:tr w:rsidR="0045061D" w:rsidTr="00153991">
        <w:trPr>
          <w:jc w:val="center"/>
        </w:trPr>
        <w:tc>
          <w:tcPr>
            <w:tcW w:w="5177" w:type="dxa"/>
            <w:shd w:val="clear" w:color="auto" w:fill="DBE5F1" w:themeFill="accent1" w:themeFillTint="33"/>
            <w:vAlign w:val="bottom"/>
          </w:tcPr>
          <w:p w:rsidR="0045061D" w:rsidRDefault="0045061D" w:rsidP="00F77F14">
            <w:pPr>
              <w:pStyle w:val="Heading3"/>
              <w:spacing w:before="120"/>
            </w:pPr>
            <w:r>
              <w:t>Goals</w:t>
            </w:r>
          </w:p>
        </w:tc>
        <w:tc>
          <w:tcPr>
            <w:tcW w:w="6077" w:type="dxa"/>
            <w:gridSpan w:val="3"/>
            <w:shd w:val="clear" w:color="auto" w:fill="DBE5F1" w:themeFill="accent1" w:themeFillTint="33"/>
            <w:vAlign w:val="bottom"/>
          </w:tcPr>
          <w:p w:rsidR="0045061D" w:rsidRDefault="0045061D" w:rsidP="00F77F14">
            <w:pPr>
              <w:pStyle w:val="Heading3"/>
              <w:spacing w:before="120"/>
            </w:pPr>
            <w:r>
              <w:t>Desired Outcomes</w:t>
            </w:r>
          </w:p>
        </w:tc>
      </w:tr>
      <w:tr w:rsidR="0045061D" w:rsidTr="00153991">
        <w:trPr>
          <w:jc w:val="center"/>
        </w:trPr>
        <w:tc>
          <w:tcPr>
            <w:tcW w:w="5177" w:type="dxa"/>
            <w:tcBorders>
              <w:bottom w:val="single" w:sz="4" w:space="0" w:color="808080" w:themeColor="background1" w:themeShade="80"/>
            </w:tcBorders>
          </w:tcPr>
          <w:p w:rsidR="0045061D" w:rsidRPr="00125F31" w:rsidRDefault="00125F31" w:rsidP="00125F31">
            <w:pPr>
              <w:pStyle w:val="ListParagraph"/>
              <w:numPr>
                <w:ilvl w:val="0"/>
                <w:numId w:val="6"/>
              </w:numPr>
              <w:spacing w:after="120"/>
              <w:ind w:left="389"/>
              <w:contextualSpacing w:val="0"/>
              <w:rPr>
                <w:sz w:val="20"/>
                <w:szCs w:val="20"/>
              </w:rPr>
            </w:pPr>
            <w:r w:rsidRPr="00125F31">
              <w:rPr>
                <w:sz w:val="20"/>
                <w:szCs w:val="20"/>
              </w:rPr>
              <w:t>Increase the degree and certificate completion rate for Hispanic students (currently this population has a 49% successful completion rate).</w:t>
            </w:r>
          </w:p>
          <w:p w:rsidR="00125F31" w:rsidRPr="00125F31" w:rsidRDefault="00125F31" w:rsidP="00125F31">
            <w:pPr>
              <w:pStyle w:val="ListParagraph"/>
              <w:numPr>
                <w:ilvl w:val="0"/>
                <w:numId w:val="6"/>
              </w:numPr>
              <w:spacing w:after="120"/>
              <w:ind w:left="389"/>
              <w:contextualSpacing w:val="0"/>
              <w:rPr>
                <w:sz w:val="20"/>
                <w:szCs w:val="20"/>
              </w:rPr>
            </w:pPr>
            <w:r w:rsidRPr="00125F31">
              <w:rPr>
                <w:sz w:val="20"/>
                <w:szCs w:val="20"/>
              </w:rPr>
              <w:t>Increase the degree and certificate completion rate for foster youth students.</w:t>
            </w:r>
          </w:p>
          <w:p w:rsidR="00125F31" w:rsidRPr="00125F31" w:rsidRDefault="00125F31" w:rsidP="00125F31">
            <w:pPr>
              <w:pStyle w:val="ListParagraph"/>
              <w:numPr>
                <w:ilvl w:val="0"/>
                <w:numId w:val="6"/>
              </w:numPr>
              <w:spacing w:after="120"/>
              <w:ind w:left="389"/>
              <w:contextualSpacing w:val="0"/>
              <w:rPr>
                <w:sz w:val="20"/>
                <w:szCs w:val="20"/>
              </w:rPr>
            </w:pPr>
            <w:r w:rsidRPr="00125F31">
              <w:rPr>
                <w:sz w:val="20"/>
                <w:szCs w:val="20"/>
              </w:rPr>
              <w:t>Increase the degree and certificate completion rate for veteran students.</w:t>
            </w:r>
          </w:p>
        </w:tc>
        <w:tc>
          <w:tcPr>
            <w:tcW w:w="6077" w:type="dxa"/>
            <w:gridSpan w:val="3"/>
            <w:tcBorders>
              <w:bottom w:val="single" w:sz="4" w:space="0" w:color="808080" w:themeColor="background1" w:themeShade="80"/>
            </w:tcBorders>
          </w:tcPr>
          <w:p w:rsidR="0045061D" w:rsidRPr="00125F31" w:rsidRDefault="00125F31" w:rsidP="00F77F14">
            <w:pPr>
              <w:pStyle w:val="ListParagraph"/>
              <w:numPr>
                <w:ilvl w:val="0"/>
                <w:numId w:val="1"/>
              </w:numPr>
              <w:spacing w:after="120"/>
              <w:ind w:left="187" w:hanging="187"/>
              <w:contextualSpacing w:val="0"/>
              <w:rPr>
                <w:sz w:val="20"/>
                <w:szCs w:val="20"/>
              </w:rPr>
            </w:pPr>
            <w:r w:rsidRPr="00125F31">
              <w:rPr>
                <w:rFonts w:cs="Times New Roman"/>
                <w:sz w:val="20"/>
                <w:szCs w:val="20"/>
              </w:rPr>
              <w:t>Successful degree, certificate and transfer-preparation completion rates for Hispanic students will reach 54% within the next 3 years.</w:t>
            </w:r>
          </w:p>
          <w:p w:rsidR="00125F31" w:rsidRPr="00125F31" w:rsidRDefault="00125F31" w:rsidP="00F77F14">
            <w:pPr>
              <w:pStyle w:val="ListParagraph"/>
              <w:numPr>
                <w:ilvl w:val="0"/>
                <w:numId w:val="1"/>
              </w:numPr>
              <w:spacing w:after="120"/>
              <w:ind w:left="187" w:hanging="187"/>
              <w:contextualSpacing w:val="0"/>
              <w:rPr>
                <w:sz w:val="20"/>
                <w:szCs w:val="20"/>
              </w:rPr>
            </w:pPr>
            <w:r w:rsidRPr="00125F31">
              <w:rPr>
                <w:rFonts w:cs="Times New Roman"/>
                <w:sz w:val="20"/>
                <w:szCs w:val="20"/>
              </w:rPr>
              <w:t xml:space="preserve">Assuming that there is a disproportionate impact, the college will improve successful degree, certificate and transfer-preparation completion rates for foster youth students by 5% within the next 3 years, using </w:t>
            </w:r>
            <w:proofErr w:type="gramStart"/>
            <w:r w:rsidRPr="00125F31">
              <w:rPr>
                <w:rFonts w:cs="Times New Roman"/>
                <w:sz w:val="20"/>
                <w:szCs w:val="20"/>
              </w:rPr>
              <w:t>Fall</w:t>
            </w:r>
            <w:proofErr w:type="gramEnd"/>
            <w:r w:rsidRPr="00125F31">
              <w:rPr>
                <w:rFonts w:cs="Times New Roman"/>
                <w:sz w:val="20"/>
                <w:szCs w:val="20"/>
              </w:rPr>
              <w:t xml:space="preserve"> 2014 research to set the baseline completion rate.</w:t>
            </w:r>
          </w:p>
          <w:p w:rsidR="00125F31" w:rsidRPr="00125F31" w:rsidRDefault="00125F31" w:rsidP="00F77F14">
            <w:pPr>
              <w:pStyle w:val="ListParagraph"/>
              <w:numPr>
                <w:ilvl w:val="0"/>
                <w:numId w:val="1"/>
              </w:numPr>
              <w:spacing w:after="120"/>
              <w:ind w:left="187" w:hanging="187"/>
              <w:contextualSpacing w:val="0"/>
              <w:rPr>
                <w:sz w:val="20"/>
                <w:szCs w:val="20"/>
              </w:rPr>
            </w:pPr>
            <w:r w:rsidRPr="00125F31">
              <w:rPr>
                <w:rFonts w:cs="Times New Roman"/>
                <w:sz w:val="20"/>
                <w:szCs w:val="20"/>
              </w:rPr>
              <w:t xml:space="preserve">Assuming that there is a disproportionate impact, the college will improve successful degree, certificate and transfer-preparation completion rates for </w:t>
            </w:r>
            <w:r w:rsidRPr="00125F31">
              <w:rPr>
                <w:sz w:val="20"/>
                <w:szCs w:val="20"/>
              </w:rPr>
              <w:t xml:space="preserve">veteran students </w:t>
            </w:r>
            <w:r w:rsidRPr="00125F31">
              <w:rPr>
                <w:rFonts w:cs="Times New Roman"/>
                <w:sz w:val="20"/>
                <w:szCs w:val="20"/>
              </w:rPr>
              <w:t xml:space="preserve">by 5% within the next 3 years, using </w:t>
            </w:r>
            <w:proofErr w:type="gramStart"/>
            <w:r w:rsidRPr="00125F31">
              <w:rPr>
                <w:rFonts w:cs="Times New Roman"/>
                <w:sz w:val="20"/>
                <w:szCs w:val="20"/>
              </w:rPr>
              <w:t>Fall</w:t>
            </w:r>
            <w:proofErr w:type="gramEnd"/>
            <w:r w:rsidRPr="00125F31">
              <w:rPr>
                <w:rFonts w:cs="Times New Roman"/>
                <w:sz w:val="20"/>
                <w:szCs w:val="20"/>
              </w:rPr>
              <w:t xml:space="preserve"> 2014 research to set the baseline completion rate.</w:t>
            </w:r>
          </w:p>
        </w:tc>
      </w:tr>
      <w:tr w:rsidR="0045061D" w:rsidTr="00564CD2">
        <w:trPr>
          <w:jc w:val="center"/>
        </w:trPr>
        <w:tc>
          <w:tcPr>
            <w:tcW w:w="6167" w:type="dxa"/>
            <w:gridSpan w:val="2"/>
            <w:tcBorders>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Activities from Equity Plan</w:t>
            </w:r>
          </w:p>
        </w:tc>
        <w:tc>
          <w:tcPr>
            <w:tcW w:w="1260" w:type="dxa"/>
            <w:tcBorders>
              <w:left w:val="nil"/>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Timeline</w:t>
            </w:r>
          </w:p>
        </w:tc>
        <w:tc>
          <w:tcPr>
            <w:tcW w:w="3827" w:type="dxa"/>
            <w:tcBorders>
              <w:left w:val="nil"/>
              <w:bottom w:val="single" w:sz="4" w:space="0" w:color="808080" w:themeColor="background1" w:themeShade="80"/>
            </w:tcBorders>
            <w:shd w:val="clear" w:color="auto" w:fill="DBE5F1" w:themeFill="accent1" w:themeFillTint="33"/>
            <w:vAlign w:val="bottom"/>
          </w:tcPr>
          <w:p w:rsidR="0045061D" w:rsidRDefault="0045061D" w:rsidP="00F77F14">
            <w:pPr>
              <w:pStyle w:val="Heading3"/>
              <w:spacing w:before="120"/>
            </w:pPr>
            <w:r>
              <w:t>Responsible Party</w:t>
            </w:r>
          </w:p>
        </w:tc>
      </w:tr>
      <w:tr w:rsidR="00564CD2" w:rsidRPr="00F6128E" w:rsidTr="00564CD2">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564CD2" w:rsidRPr="00125F31" w:rsidRDefault="00564CD2" w:rsidP="00F77F14">
            <w:pPr>
              <w:rPr>
                <w:rFonts w:cs="Times New Roman"/>
                <w:sz w:val="20"/>
                <w:szCs w:val="20"/>
              </w:rPr>
            </w:pPr>
            <w:r w:rsidRPr="00125F31">
              <w:rPr>
                <w:rFonts w:cs="Times New Roman"/>
                <w:sz w:val="20"/>
                <w:szCs w:val="20"/>
              </w:rPr>
              <w:t>Determine which majors Hispanic students have identified; review Hispanic students’ course-taking patterns to determine courses that appear to be barriers to successful degree/certificate completions.</w:t>
            </w:r>
            <w:r>
              <w:rPr>
                <w:rFonts w:cs="Times New Roman"/>
                <w:sz w:val="20"/>
                <w:szCs w:val="20"/>
              </w:rPr>
              <w:t xml:space="preserve"> (G-1)</w:t>
            </w:r>
          </w:p>
        </w:tc>
        <w:tc>
          <w:tcPr>
            <w:tcW w:w="1260" w:type="dxa"/>
            <w:tcBorders>
              <w:top w:val="single" w:sz="4" w:space="0" w:color="808080" w:themeColor="background1" w:themeShade="80"/>
              <w:left w:val="nil"/>
              <w:bottom w:val="nil"/>
              <w:right w:val="nil"/>
            </w:tcBorders>
          </w:tcPr>
          <w:p w:rsidR="00564CD2" w:rsidRPr="00125F31" w:rsidRDefault="00564CD2" w:rsidP="00F77F14">
            <w:pPr>
              <w:rPr>
                <w:rFonts w:cs="Times New Roman"/>
                <w:sz w:val="20"/>
                <w:szCs w:val="20"/>
              </w:rPr>
            </w:pPr>
            <w:r w:rsidRPr="00125F31">
              <w:rPr>
                <w:rFonts w:cs="Times New Roman"/>
                <w:sz w:val="20"/>
                <w:szCs w:val="20"/>
              </w:rPr>
              <w:t>Year 1:</w:t>
            </w:r>
          </w:p>
          <w:p w:rsidR="00564CD2" w:rsidRPr="00125F31" w:rsidRDefault="00564CD2" w:rsidP="00F77F14">
            <w:pPr>
              <w:rPr>
                <w:rFonts w:cs="Times New Roman"/>
                <w:sz w:val="20"/>
                <w:szCs w:val="20"/>
              </w:rPr>
            </w:pPr>
            <w:r w:rsidRPr="00125F31">
              <w:rPr>
                <w:rFonts w:cs="Times New Roman"/>
                <w:sz w:val="20"/>
                <w:szCs w:val="20"/>
              </w:rPr>
              <w:t>2014-2015</w:t>
            </w:r>
          </w:p>
        </w:tc>
        <w:tc>
          <w:tcPr>
            <w:tcW w:w="3827" w:type="dxa"/>
            <w:tcBorders>
              <w:top w:val="single" w:sz="4" w:space="0" w:color="808080" w:themeColor="background1" w:themeShade="80"/>
              <w:left w:val="nil"/>
              <w:bottom w:val="nil"/>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Office of Institutional Research, Program Faculty</w:t>
            </w:r>
          </w:p>
        </w:tc>
      </w:tr>
      <w:tr w:rsidR="00564CD2" w:rsidRPr="002D59B4" w:rsidTr="00564CD2">
        <w:trPr>
          <w:jc w:val="center"/>
        </w:trPr>
        <w:tc>
          <w:tcPr>
            <w:tcW w:w="6167" w:type="dxa"/>
            <w:gridSpan w:val="2"/>
            <w:tcBorders>
              <w:top w:val="nil"/>
              <w:left w:val="single" w:sz="4" w:space="0" w:color="808080" w:themeColor="background1" w:themeShade="80"/>
              <w:bottom w:val="nil"/>
              <w:right w:val="nil"/>
            </w:tcBorders>
          </w:tcPr>
          <w:p w:rsidR="00564CD2" w:rsidRPr="00125F31" w:rsidRDefault="00564CD2" w:rsidP="00125F31">
            <w:pPr>
              <w:rPr>
                <w:rFonts w:cs="Times New Roman"/>
                <w:sz w:val="20"/>
                <w:szCs w:val="20"/>
              </w:rPr>
            </w:pPr>
            <w:r w:rsidRPr="00125F31">
              <w:rPr>
                <w:rFonts w:cs="Times New Roman"/>
                <w:sz w:val="20"/>
                <w:szCs w:val="20"/>
              </w:rPr>
              <w:t>Help students understand degree/certificate patterns (ADTs) and transfer pathways.</w:t>
            </w:r>
            <w:r>
              <w:rPr>
                <w:rFonts w:cs="Times New Roman"/>
                <w:sz w:val="20"/>
                <w:szCs w:val="20"/>
              </w:rPr>
              <w:t xml:space="preserve"> (G-1) (G-2) (G-3)</w:t>
            </w:r>
          </w:p>
        </w:tc>
        <w:tc>
          <w:tcPr>
            <w:tcW w:w="1260" w:type="dxa"/>
            <w:tcBorders>
              <w:top w:val="nil"/>
              <w:left w:val="nil"/>
              <w:bottom w:val="nil"/>
              <w:right w:val="nil"/>
            </w:tcBorders>
          </w:tcPr>
          <w:p w:rsidR="00564CD2" w:rsidRPr="00125F31" w:rsidRDefault="00564CD2" w:rsidP="00F77F14">
            <w:pPr>
              <w:rPr>
                <w:rFonts w:cs="Times New Roman"/>
                <w:sz w:val="20"/>
                <w:szCs w:val="20"/>
              </w:rPr>
            </w:pPr>
            <w:r w:rsidRPr="00125F31">
              <w:rPr>
                <w:rFonts w:cs="Times New Roman"/>
                <w:sz w:val="20"/>
                <w:szCs w:val="20"/>
              </w:rPr>
              <w:t>Year 1:</w:t>
            </w:r>
          </w:p>
          <w:p w:rsidR="00564CD2" w:rsidRPr="00125F31" w:rsidRDefault="00564CD2" w:rsidP="00F77F14">
            <w:pPr>
              <w:rPr>
                <w:rFonts w:cs="Times New Roman"/>
                <w:sz w:val="20"/>
                <w:szCs w:val="20"/>
              </w:rPr>
            </w:pPr>
            <w:r w:rsidRPr="00125F31">
              <w:rPr>
                <w:rFonts w:cs="Times New Roman"/>
                <w:sz w:val="20"/>
                <w:szCs w:val="20"/>
              </w:rPr>
              <w:t>2014-2015</w:t>
            </w:r>
          </w:p>
        </w:tc>
        <w:tc>
          <w:tcPr>
            <w:tcW w:w="3827" w:type="dxa"/>
            <w:tcBorders>
              <w:top w:val="nil"/>
              <w:left w:val="nil"/>
              <w:bottom w:val="nil"/>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Outreach, Program Faculty, Transfer Center, Counselors</w:t>
            </w:r>
          </w:p>
        </w:tc>
      </w:tr>
      <w:tr w:rsidR="00564CD2" w:rsidRPr="00125F31" w:rsidTr="00564CD2">
        <w:trPr>
          <w:jc w:val="center"/>
        </w:trPr>
        <w:tc>
          <w:tcPr>
            <w:tcW w:w="6167" w:type="dxa"/>
            <w:gridSpan w:val="2"/>
            <w:tcBorders>
              <w:top w:val="nil"/>
              <w:left w:val="single" w:sz="4" w:space="0" w:color="808080" w:themeColor="background1" w:themeShade="80"/>
              <w:bottom w:val="nil"/>
              <w:right w:val="nil"/>
            </w:tcBorders>
          </w:tcPr>
          <w:p w:rsidR="00564CD2" w:rsidRDefault="00564CD2" w:rsidP="00F77F14">
            <w:pPr>
              <w:rPr>
                <w:rFonts w:cs="Times New Roman"/>
                <w:sz w:val="20"/>
                <w:szCs w:val="20"/>
              </w:rPr>
            </w:pPr>
            <w:r w:rsidRPr="00125F31">
              <w:rPr>
                <w:rFonts w:cs="Times New Roman"/>
                <w:sz w:val="20"/>
                <w:szCs w:val="20"/>
              </w:rPr>
              <w:t xml:space="preserve">Identify students’ course-taking patterns. To determine courses </w:t>
            </w:r>
            <w:proofErr w:type="gramStart"/>
            <w:r w:rsidRPr="00125F31">
              <w:rPr>
                <w:rFonts w:cs="Times New Roman"/>
                <w:sz w:val="20"/>
                <w:szCs w:val="20"/>
              </w:rPr>
              <w:t>that appear</w:t>
            </w:r>
            <w:proofErr w:type="gramEnd"/>
            <w:r w:rsidRPr="00125F31">
              <w:rPr>
                <w:rFonts w:cs="Times New Roman"/>
                <w:sz w:val="20"/>
                <w:szCs w:val="20"/>
              </w:rPr>
              <w:t xml:space="preserve"> to be barriers to successful degree/certificate completions. </w:t>
            </w:r>
          </w:p>
          <w:p w:rsidR="00564CD2" w:rsidRPr="00125F31" w:rsidRDefault="00564CD2" w:rsidP="00F77F14">
            <w:pPr>
              <w:rPr>
                <w:rFonts w:cs="Times New Roman"/>
                <w:sz w:val="20"/>
                <w:szCs w:val="20"/>
              </w:rPr>
            </w:pPr>
            <w:r>
              <w:rPr>
                <w:rFonts w:cs="Times New Roman"/>
                <w:sz w:val="20"/>
                <w:szCs w:val="20"/>
              </w:rPr>
              <w:t xml:space="preserve">(G-2) (G-3) </w:t>
            </w:r>
          </w:p>
        </w:tc>
        <w:tc>
          <w:tcPr>
            <w:tcW w:w="1260" w:type="dxa"/>
            <w:tcBorders>
              <w:top w:val="nil"/>
              <w:left w:val="nil"/>
              <w:bottom w:val="nil"/>
              <w:right w:val="nil"/>
            </w:tcBorders>
          </w:tcPr>
          <w:p w:rsidR="00564CD2" w:rsidRPr="00125F31" w:rsidRDefault="00564CD2" w:rsidP="00F77F14">
            <w:pPr>
              <w:rPr>
                <w:rFonts w:cs="Times New Roman"/>
                <w:sz w:val="20"/>
                <w:szCs w:val="20"/>
              </w:rPr>
            </w:pPr>
            <w:r w:rsidRPr="00125F31">
              <w:rPr>
                <w:rFonts w:cs="Times New Roman"/>
                <w:sz w:val="20"/>
                <w:szCs w:val="20"/>
              </w:rPr>
              <w:t>Year 1:</w:t>
            </w:r>
          </w:p>
          <w:p w:rsidR="00564CD2" w:rsidRPr="00125F31" w:rsidRDefault="00564CD2" w:rsidP="00F77F14">
            <w:pPr>
              <w:rPr>
                <w:rFonts w:cs="Times New Roman"/>
                <w:sz w:val="20"/>
                <w:szCs w:val="20"/>
              </w:rPr>
            </w:pPr>
            <w:r w:rsidRPr="00125F31">
              <w:rPr>
                <w:rFonts w:cs="Times New Roman"/>
                <w:sz w:val="20"/>
                <w:szCs w:val="20"/>
              </w:rPr>
              <w:t>2014-2015</w:t>
            </w:r>
          </w:p>
        </w:tc>
        <w:tc>
          <w:tcPr>
            <w:tcW w:w="3827" w:type="dxa"/>
            <w:tcBorders>
              <w:top w:val="nil"/>
              <w:left w:val="nil"/>
              <w:bottom w:val="nil"/>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Office of Institutional Research,</w:t>
            </w:r>
          </w:p>
          <w:p w:rsidR="00564CD2" w:rsidRPr="00125F31" w:rsidRDefault="00564CD2" w:rsidP="00F77F14">
            <w:pPr>
              <w:rPr>
                <w:rFonts w:cs="Times New Roman"/>
                <w:sz w:val="20"/>
                <w:szCs w:val="20"/>
              </w:rPr>
            </w:pPr>
            <w:r w:rsidRPr="00125F31">
              <w:rPr>
                <w:rFonts w:cs="Times New Roman"/>
                <w:sz w:val="20"/>
                <w:szCs w:val="20"/>
              </w:rPr>
              <w:t>Program Faculty</w:t>
            </w:r>
          </w:p>
        </w:tc>
      </w:tr>
      <w:tr w:rsidR="00564CD2" w:rsidRPr="00125F31" w:rsidTr="00564CD2">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564CD2" w:rsidRPr="00125F31" w:rsidRDefault="00564CD2" w:rsidP="00564CD2">
            <w:pPr>
              <w:rPr>
                <w:rFonts w:cs="Times New Roman"/>
                <w:sz w:val="20"/>
                <w:szCs w:val="20"/>
              </w:rPr>
            </w:pPr>
            <w:r w:rsidRPr="00125F31">
              <w:rPr>
                <w:rFonts w:cs="Times New Roman"/>
                <w:sz w:val="20"/>
                <w:szCs w:val="20"/>
              </w:rPr>
              <w:t xml:space="preserve">Identify the degree and certificate completion rate for </w:t>
            </w:r>
            <w:r>
              <w:rPr>
                <w:rFonts w:cs="Times New Roman"/>
                <w:sz w:val="20"/>
                <w:szCs w:val="20"/>
              </w:rPr>
              <w:t>special population</w:t>
            </w:r>
            <w:r w:rsidRPr="00125F31">
              <w:rPr>
                <w:rFonts w:cs="Times New Roman"/>
                <w:sz w:val="20"/>
                <w:szCs w:val="20"/>
              </w:rPr>
              <w:t xml:space="preserve"> students.</w:t>
            </w:r>
            <w:r>
              <w:rPr>
                <w:rFonts w:cs="Times New Roman"/>
                <w:sz w:val="20"/>
                <w:szCs w:val="20"/>
              </w:rPr>
              <w:t xml:space="preserve"> (G-2) (G-3)</w:t>
            </w:r>
          </w:p>
        </w:tc>
        <w:tc>
          <w:tcPr>
            <w:tcW w:w="1260" w:type="dxa"/>
            <w:tcBorders>
              <w:top w:val="nil"/>
              <w:left w:val="nil"/>
              <w:bottom w:val="single" w:sz="4" w:space="0" w:color="808080" w:themeColor="background1" w:themeShade="80"/>
              <w:right w:val="nil"/>
            </w:tcBorders>
          </w:tcPr>
          <w:p w:rsidR="00564CD2" w:rsidRPr="00125F31" w:rsidRDefault="00564CD2" w:rsidP="00F77F14">
            <w:pPr>
              <w:rPr>
                <w:rFonts w:cs="Times New Roman"/>
                <w:sz w:val="20"/>
                <w:szCs w:val="20"/>
              </w:rPr>
            </w:pPr>
            <w:r w:rsidRPr="00125F31">
              <w:rPr>
                <w:rFonts w:cs="Times New Roman"/>
                <w:sz w:val="20"/>
                <w:szCs w:val="20"/>
              </w:rPr>
              <w:t>Year 1:</w:t>
            </w:r>
          </w:p>
          <w:p w:rsidR="00564CD2" w:rsidRPr="00125F31" w:rsidRDefault="00564CD2" w:rsidP="00F77F14">
            <w:pPr>
              <w:rPr>
                <w:rFonts w:cs="Times New Roman"/>
                <w:sz w:val="20"/>
                <w:szCs w:val="20"/>
              </w:rPr>
            </w:pPr>
            <w:r w:rsidRPr="00125F31">
              <w:rPr>
                <w:rFonts w:cs="Times New Roman"/>
                <w:sz w:val="20"/>
                <w:szCs w:val="20"/>
              </w:rPr>
              <w:t>2014-2015</w:t>
            </w:r>
          </w:p>
        </w:tc>
        <w:tc>
          <w:tcPr>
            <w:tcW w:w="3827" w:type="dxa"/>
            <w:tcBorders>
              <w:top w:val="nil"/>
              <w:left w:val="nil"/>
              <w:bottom w:val="single" w:sz="4" w:space="0" w:color="808080" w:themeColor="background1" w:themeShade="80"/>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Office of Institutional Research, Student Success and Equity</w:t>
            </w:r>
          </w:p>
        </w:tc>
      </w:tr>
      <w:tr w:rsidR="00564CD2" w:rsidRPr="002D59B4" w:rsidTr="00564CD2">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564CD2" w:rsidRPr="00125F31" w:rsidRDefault="00564CD2" w:rsidP="00F77F14">
            <w:pPr>
              <w:rPr>
                <w:rFonts w:cs="Times New Roman"/>
                <w:sz w:val="20"/>
                <w:szCs w:val="20"/>
              </w:rPr>
            </w:pPr>
            <w:r w:rsidRPr="00125F31">
              <w:rPr>
                <w:rFonts w:cs="Times New Roman"/>
                <w:sz w:val="20"/>
                <w:szCs w:val="20"/>
              </w:rPr>
              <w:t>Analyze the completion data further to determine the ages of the Hispanic students who are completing degrees and/or certificates. Is there a correlation between the Hispanic population and the 20-to-30 age group?</w:t>
            </w:r>
            <w:r>
              <w:rPr>
                <w:rFonts w:cs="Times New Roman"/>
                <w:sz w:val="20"/>
                <w:szCs w:val="20"/>
              </w:rPr>
              <w:t xml:space="preserve"> (G-1)</w:t>
            </w:r>
          </w:p>
        </w:tc>
        <w:tc>
          <w:tcPr>
            <w:tcW w:w="1260" w:type="dxa"/>
            <w:tcBorders>
              <w:top w:val="single" w:sz="4" w:space="0" w:color="808080" w:themeColor="background1" w:themeShade="80"/>
              <w:left w:val="nil"/>
              <w:bottom w:val="nil"/>
              <w:right w:val="nil"/>
            </w:tcBorders>
          </w:tcPr>
          <w:p w:rsidR="00564CD2" w:rsidRPr="00125F31" w:rsidRDefault="00564CD2" w:rsidP="00F77F14">
            <w:pPr>
              <w:rPr>
                <w:rFonts w:cs="Times New Roman"/>
                <w:sz w:val="20"/>
                <w:szCs w:val="20"/>
              </w:rPr>
            </w:pPr>
            <w:r w:rsidRPr="00125F31">
              <w:rPr>
                <w:rFonts w:cs="Times New Roman"/>
                <w:sz w:val="20"/>
                <w:szCs w:val="20"/>
              </w:rPr>
              <w:t>Year 2:</w:t>
            </w:r>
          </w:p>
          <w:p w:rsidR="00564CD2" w:rsidRPr="00125F31" w:rsidRDefault="00564CD2" w:rsidP="00F77F14">
            <w:pPr>
              <w:rPr>
                <w:rFonts w:cs="Times New Roman"/>
                <w:sz w:val="20"/>
                <w:szCs w:val="20"/>
              </w:rPr>
            </w:pPr>
            <w:r w:rsidRPr="00125F31">
              <w:rPr>
                <w:rFonts w:cs="Times New Roman"/>
                <w:sz w:val="20"/>
                <w:szCs w:val="20"/>
              </w:rPr>
              <w:t>2015-2016</w:t>
            </w:r>
          </w:p>
        </w:tc>
        <w:tc>
          <w:tcPr>
            <w:tcW w:w="3827" w:type="dxa"/>
            <w:tcBorders>
              <w:top w:val="single" w:sz="4" w:space="0" w:color="808080" w:themeColor="background1" w:themeShade="80"/>
              <w:left w:val="nil"/>
              <w:bottom w:val="nil"/>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Office of Institutional Research,</w:t>
            </w:r>
          </w:p>
          <w:p w:rsidR="00564CD2" w:rsidRPr="00125F31" w:rsidRDefault="00564CD2" w:rsidP="00F77F14">
            <w:pPr>
              <w:rPr>
                <w:rFonts w:cs="Times New Roman"/>
                <w:sz w:val="20"/>
                <w:szCs w:val="20"/>
              </w:rPr>
            </w:pPr>
            <w:r w:rsidRPr="00125F31">
              <w:rPr>
                <w:rFonts w:cs="Times New Roman"/>
                <w:sz w:val="20"/>
                <w:szCs w:val="20"/>
              </w:rPr>
              <w:t>Student Success and Equity Committee</w:t>
            </w:r>
          </w:p>
        </w:tc>
      </w:tr>
      <w:tr w:rsidR="00564CD2" w:rsidRPr="002D59B4" w:rsidTr="00564CD2">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564CD2" w:rsidRDefault="00564CD2" w:rsidP="00F77F14">
            <w:pPr>
              <w:rPr>
                <w:rFonts w:cs="Times New Roman"/>
                <w:sz w:val="20"/>
                <w:szCs w:val="20"/>
              </w:rPr>
            </w:pPr>
            <w:r w:rsidRPr="00125F31">
              <w:rPr>
                <w:rFonts w:cs="Times New Roman"/>
                <w:sz w:val="20"/>
                <w:szCs w:val="20"/>
              </w:rPr>
              <w:t>Review and complete two-year course sequencing patterns for each program to identify any potential barriers to student completion within a 3-year timeframe (ideally a 2-year timeframe, whenever possible)</w:t>
            </w:r>
            <w:r>
              <w:rPr>
                <w:rFonts w:cs="Times New Roman"/>
                <w:sz w:val="20"/>
                <w:szCs w:val="20"/>
              </w:rPr>
              <w:t xml:space="preserve"> </w:t>
            </w:r>
          </w:p>
          <w:p w:rsidR="00564CD2" w:rsidRPr="00125F31" w:rsidRDefault="00564CD2" w:rsidP="00F77F14">
            <w:pPr>
              <w:rPr>
                <w:rFonts w:cs="Times New Roman"/>
                <w:sz w:val="20"/>
                <w:szCs w:val="20"/>
              </w:rPr>
            </w:pPr>
            <w:r>
              <w:rPr>
                <w:rFonts w:cs="Times New Roman"/>
                <w:sz w:val="20"/>
                <w:szCs w:val="20"/>
              </w:rPr>
              <w:t>(G-1) (G-2) (G-3)</w:t>
            </w:r>
          </w:p>
        </w:tc>
        <w:tc>
          <w:tcPr>
            <w:tcW w:w="1260" w:type="dxa"/>
            <w:tcBorders>
              <w:top w:val="nil"/>
              <w:left w:val="nil"/>
              <w:bottom w:val="single" w:sz="4" w:space="0" w:color="808080" w:themeColor="background1" w:themeShade="80"/>
              <w:right w:val="nil"/>
            </w:tcBorders>
          </w:tcPr>
          <w:p w:rsidR="00564CD2" w:rsidRPr="00125F31" w:rsidRDefault="00564CD2" w:rsidP="00F77F14">
            <w:pPr>
              <w:rPr>
                <w:rFonts w:cs="Times New Roman"/>
                <w:sz w:val="20"/>
                <w:szCs w:val="20"/>
              </w:rPr>
            </w:pPr>
            <w:r w:rsidRPr="00125F31">
              <w:rPr>
                <w:rFonts w:cs="Times New Roman"/>
                <w:sz w:val="20"/>
                <w:szCs w:val="20"/>
              </w:rPr>
              <w:t>Year 2:</w:t>
            </w:r>
          </w:p>
          <w:p w:rsidR="00564CD2" w:rsidRPr="00125F31" w:rsidRDefault="00564CD2" w:rsidP="00F77F14">
            <w:pPr>
              <w:rPr>
                <w:rFonts w:cs="Times New Roman"/>
                <w:sz w:val="20"/>
                <w:szCs w:val="20"/>
              </w:rPr>
            </w:pPr>
            <w:r w:rsidRPr="00125F31">
              <w:rPr>
                <w:rFonts w:cs="Times New Roman"/>
                <w:sz w:val="20"/>
                <w:szCs w:val="20"/>
              </w:rPr>
              <w:t>2015-2016</w:t>
            </w:r>
          </w:p>
        </w:tc>
        <w:tc>
          <w:tcPr>
            <w:tcW w:w="3827" w:type="dxa"/>
            <w:tcBorders>
              <w:top w:val="nil"/>
              <w:left w:val="nil"/>
              <w:bottom w:val="single" w:sz="4" w:space="0" w:color="808080" w:themeColor="background1" w:themeShade="80"/>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Deans, Instructional Program Faculty, Counseling</w:t>
            </w:r>
          </w:p>
        </w:tc>
      </w:tr>
      <w:tr w:rsidR="00564CD2" w:rsidRPr="002D59B4" w:rsidTr="00564CD2">
        <w:trPr>
          <w:jc w:val="center"/>
        </w:trPr>
        <w:tc>
          <w:tcPr>
            <w:tcW w:w="6167" w:type="dxa"/>
            <w:gridSpan w:val="2"/>
            <w:tcBorders>
              <w:top w:val="single" w:sz="4" w:space="0" w:color="808080" w:themeColor="background1" w:themeShade="80"/>
              <w:left w:val="single" w:sz="4" w:space="0" w:color="808080" w:themeColor="background1" w:themeShade="80"/>
              <w:bottom w:val="nil"/>
              <w:right w:val="nil"/>
            </w:tcBorders>
          </w:tcPr>
          <w:p w:rsidR="00564CD2" w:rsidRDefault="00564CD2" w:rsidP="00F77F14">
            <w:pPr>
              <w:rPr>
                <w:rFonts w:cs="Times New Roman"/>
                <w:sz w:val="20"/>
                <w:szCs w:val="20"/>
              </w:rPr>
            </w:pPr>
            <w:r w:rsidRPr="00125F31">
              <w:rPr>
                <w:rFonts w:cs="Times New Roman"/>
                <w:sz w:val="20"/>
                <w:szCs w:val="20"/>
              </w:rPr>
              <w:t>Develop expanded Early Alert Process (“follow-up” campaign) utilizing the Grades First system, reaching out to students who have been identified as “at risk”. (Student Success Initiative, Item SS10)</w:t>
            </w:r>
            <w:r>
              <w:rPr>
                <w:rFonts w:cs="Times New Roman"/>
                <w:sz w:val="20"/>
                <w:szCs w:val="20"/>
              </w:rPr>
              <w:t xml:space="preserve"> </w:t>
            </w:r>
          </w:p>
          <w:p w:rsidR="00564CD2" w:rsidRPr="00125F31" w:rsidRDefault="00564CD2" w:rsidP="00F77F14">
            <w:pPr>
              <w:rPr>
                <w:rFonts w:cs="Times New Roman"/>
                <w:sz w:val="20"/>
                <w:szCs w:val="20"/>
              </w:rPr>
            </w:pPr>
            <w:r>
              <w:rPr>
                <w:rFonts w:cs="Times New Roman"/>
                <w:sz w:val="20"/>
                <w:szCs w:val="20"/>
              </w:rPr>
              <w:t>(G-1) (G-2) (G-3)</w:t>
            </w:r>
          </w:p>
        </w:tc>
        <w:tc>
          <w:tcPr>
            <w:tcW w:w="1260" w:type="dxa"/>
            <w:tcBorders>
              <w:top w:val="single" w:sz="4" w:space="0" w:color="808080" w:themeColor="background1" w:themeShade="80"/>
              <w:left w:val="nil"/>
              <w:bottom w:val="nil"/>
              <w:right w:val="nil"/>
            </w:tcBorders>
          </w:tcPr>
          <w:p w:rsidR="00564CD2" w:rsidRPr="00125F31" w:rsidRDefault="00564CD2" w:rsidP="00F77F14">
            <w:pPr>
              <w:rPr>
                <w:rFonts w:cs="Times New Roman"/>
                <w:sz w:val="20"/>
                <w:szCs w:val="20"/>
              </w:rPr>
            </w:pPr>
            <w:r w:rsidRPr="00125F31">
              <w:rPr>
                <w:rFonts w:cs="Times New Roman"/>
                <w:sz w:val="20"/>
                <w:szCs w:val="20"/>
              </w:rPr>
              <w:t>Year 3:</w:t>
            </w:r>
          </w:p>
          <w:p w:rsidR="00564CD2" w:rsidRPr="00125F31" w:rsidRDefault="00564CD2" w:rsidP="00F77F14">
            <w:pPr>
              <w:rPr>
                <w:rFonts w:cs="Times New Roman"/>
                <w:sz w:val="20"/>
                <w:szCs w:val="20"/>
              </w:rPr>
            </w:pPr>
            <w:r w:rsidRPr="00125F31">
              <w:rPr>
                <w:rFonts w:cs="Times New Roman"/>
                <w:sz w:val="20"/>
                <w:szCs w:val="20"/>
              </w:rPr>
              <w:t>2016-2017</w:t>
            </w:r>
          </w:p>
        </w:tc>
        <w:tc>
          <w:tcPr>
            <w:tcW w:w="3827" w:type="dxa"/>
            <w:tcBorders>
              <w:top w:val="single" w:sz="4" w:space="0" w:color="808080" w:themeColor="background1" w:themeShade="80"/>
              <w:left w:val="nil"/>
              <w:bottom w:val="nil"/>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 xml:space="preserve">Deans, Office of Institutional Research, Counseling, Student Services </w:t>
            </w:r>
          </w:p>
        </w:tc>
      </w:tr>
      <w:tr w:rsidR="00564CD2" w:rsidRPr="002D59B4" w:rsidTr="00564CD2">
        <w:trPr>
          <w:jc w:val="center"/>
        </w:trPr>
        <w:tc>
          <w:tcPr>
            <w:tcW w:w="6167" w:type="dxa"/>
            <w:gridSpan w:val="2"/>
            <w:tcBorders>
              <w:top w:val="nil"/>
              <w:left w:val="single" w:sz="4" w:space="0" w:color="808080" w:themeColor="background1" w:themeShade="80"/>
              <w:bottom w:val="single" w:sz="4" w:space="0" w:color="808080" w:themeColor="background1" w:themeShade="80"/>
              <w:right w:val="nil"/>
            </w:tcBorders>
          </w:tcPr>
          <w:p w:rsidR="00564CD2" w:rsidRDefault="00564CD2" w:rsidP="00F77F14">
            <w:pPr>
              <w:rPr>
                <w:rFonts w:cs="Times New Roman"/>
                <w:sz w:val="20"/>
                <w:szCs w:val="20"/>
              </w:rPr>
            </w:pPr>
            <w:r w:rsidRPr="00125F31">
              <w:rPr>
                <w:rFonts w:cs="Times New Roman"/>
                <w:sz w:val="20"/>
                <w:szCs w:val="20"/>
              </w:rPr>
              <w:t>Survey students when they drop courses to determine reason for dropping; analyze drop survey results and discuss potential trends.</w:t>
            </w:r>
            <w:r>
              <w:rPr>
                <w:rFonts w:cs="Times New Roman"/>
                <w:sz w:val="20"/>
                <w:szCs w:val="20"/>
              </w:rPr>
              <w:t xml:space="preserve"> </w:t>
            </w:r>
          </w:p>
          <w:p w:rsidR="00564CD2" w:rsidRPr="00125F31" w:rsidRDefault="00564CD2" w:rsidP="00F77F14">
            <w:pPr>
              <w:rPr>
                <w:rFonts w:cs="Times New Roman"/>
                <w:sz w:val="20"/>
                <w:szCs w:val="20"/>
              </w:rPr>
            </w:pPr>
            <w:r>
              <w:rPr>
                <w:rFonts w:cs="Times New Roman"/>
                <w:sz w:val="20"/>
                <w:szCs w:val="20"/>
              </w:rPr>
              <w:t>(G-1) (G-2) (G-3)</w:t>
            </w:r>
          </w:p>
        </w:tc>
        <w:tc>
          <w:tcPr>
            <w:tcW w:w="1260" w:type="dxa"/>
            <w:tcBorders>
              <w:top w:val="nil"/>
              <w:left w:val="nil"/>
              <w:bottom w:val="single" w:sz="4" w:space="0" w:color="808080" w:themeColor="background1" w:themeShade="80"/>
              <w:right w:val="nil"/>
            </w:tcBorders>
          </w:tcPr>
          <w:p w:rsidR="00564CD2" w:rsidRPr="00125F31" w:rsidRDefault="00564CD2" w:rsidP="00F77F14">
            <w:pPr>
              <w:rPr>
                <w:rFonts w:cs="Times New Roman"/>
                <w:sz w:val="20"/>
                <w:szCs w:val="20"/>
              </w:rPr>
            </w:pPr>
            <w:r w:rsidRPr="00125F31">
              <w:rPr>
                <w:rFonts w:cs="Times New Roman"/>
                <w:sz w:val="20"/>
                <w:szCs w:val="20"/>
              </w:rPr>
              <w:t>Year 3:</w:t>
            </w:r>
          </w:p>
          <w:p w:rsidR="00564CD2" w:rsidRPr="00125F31" w:rsidRDefault="00564CD2" w:rsidP="00F77F14">
            <w:pPr>
              <w:rPr>
                <w:rFonts w:cs="Times New Roman"/>
                <w:sz w:val="20"/>
                <w:szCs w:val="20"/>
              </w:rPr>
            </w:pPr>
            <w:r w:rsidRPr="00125F31">
              <w:rPr>
                <w:rFonts w:cs="Times New Roman"/>
                <w:sz w:val="20"/>
                <w:szCs w:val="20"/>
              </w:rPr>
              <w:t>2016-2017</w:t>
            </w:r>
          </w:p>
        </w:tc>
        <w:tc>
          <w:tcPr>
            <w:tcW w:w="3827" w:type="dxa"/>
            <w:tcBorders>
              <w:top w:val="nil"/>
              <w:left w:val="nil"/>
              <w:bottom w:val="single" w:sz="4" w:space="0" w:color="808080" w:themeColor="background1" w:themeShade="80"/>
              <w:right w:val="single" w:sz="4" w:space="0" w:color="808080" w:themeColor="background1" w:themeShade="80"/>
            </w:tcBorders>
          </w:tcPr>
          <w:p w:rsidR="00564CD2" w:rsidRPr="00125F31" w:rsidRDefault="00564CD2" w:rsidP="00F77F14">
            <w:pPr>
              <w:rPr>
                <w:rFonts w:cs="Times New Roman"/>
                <w:sz w:val="20"/>
                <w:szCs w:val="20"/>
              </w:rPr>
            </w:pPr>
            <w:r w:rsidRPr="00125F31">
              <w:rPr>
                <w:rFonts w:cs="Times New Roman"/>
                <w:sz w:val="20"/>
                <w:szCs w:val="20"/>
              </w:rPr>
              <w:t>Dean, Student Services, Program Faculty, Office of Institutional Research</w:t>
            </w:r>
          </w:p>
        </w:tc>
      </w:tr>
    </w:tbl>
    <w:p w:rsidR="0045061D" w:rsidRDefault="0045061D" w:rsidP="00C52596"/>
    <w:p w:rsidR="0045061D" w:rsidRDefault="0045061D" w:rsidP="0045061D">
      <w:r>
        <w:br w:type="page"/>
      </w:r>
    </w:p>
    <w:tbl>
      <w:tblPr>
        <w:tblStyle w:val="TableGrid"/>
        <w:tblW w:w="0" w:type="auto"/>
        <w:jc w:val="center"/>
        <w:tblInd w:w="-2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7"/>
        <w:gridCol w:w="990"/>
        <w:gridCol w:w="1260"/>
        <w:gridCol w:w="3827"/>
      </w:tblGrid>
      <w:tr w:rsidR="0045061D" w:rsidTr="00153991">
        <w:trPr>
          <w:jc w:val="center"/>
        </w:trPr>
        <w:tc>
          <w:tcPr>
            <w:tcW w:w="5177" w:type="dxa"/>
            <w:shd w:val="clear" w:color="auto" w:fill="DBE5F1" w:themeFill="accent1" w:themeFillTint="33"/>
            <w:vAlign w:val="bottom"/>
          </w:tcPr>
          <w:p w:rsidR="0045061D" w:rsidRDefault="0045061D" w:rsidP="00153991">
            <w:pPr>
              <w:pStyle w:val="Heading3"/>
              <w:spacing w:before="120"/>
            </w:pPr>
            <w:r>
              <w:lastRenderedPageBreak/>
              <w:t>Indicator</w:t>
            </w:r>
            <w:r w:rsidR="00153991">
              <w:t>:  Transfer</w:t>
            </w:r>
          </w:p>
        </w:tc>
        <w:tc>
          <w:tcPr>
            <w:tcW w:w="6077" w:type="dxa"/>
            <w:gridSpan w:val="3"/>
            <w:shd w:val="clear" w:color="auto" w:fill="DBE5F1" w:themeFill="accent1" w:themeFillTint="33"/>
            <w:vAlign w:val="bottom"/>
          </w:tcPr>
          <w:p w:rsidR="0045061D" w:rsidRDefault="0045061D" w:rsidP="00F77F14">
            <w:pPr>
              <w:pStyle w:val="Heading3"/>
              <w:spacing w:before="120"/>
            </w:pPr>
            <w:r>
              <w:t>Campus Based Research</w:t>
            </w:r>
          </w:p>
        </w:tc>
      </w:tr>
      <w:tr w:rsidR="0045061D" w:rsidTr="00153991">
        <w:trPr>
          <w:jc w:val="center"/>
        </w:trPr>
        <w:tc>
          <w:tcPr>
            <w:tcW w:w="5177" w:type="dxa"/>
            <w:tcBorders>
              <w:bottom w:val="single" w:sz="4" w:space="0" w:color="808080" w:themeColor="background1" w:themeShade="80"/>
            </w:tcBorders>
          </w:tcPr>
          <w:p w:rsidR="0045061D" w:rsidRPr="0043011E" w:rsidRDefault="0043011E" w:rsidP="00F77F14">
            <w:pPr>
              <w:pStyle w:val="Header"/>
              <w:tabs>
                <w:tab w:val="clear" w:pos="4320"/>
                <w:tab w:val="clear" w:pos="8640"/>
              </w:tabs>
              <w:rPr>
                <w:rFonts w:asciiTheme="minorHAnsi" w:hAnsiTheme="minorHAnsi"/>
                <w:iCs/>
                <w:sz w:val="20"/>
              </w:rPr>
            </w:pPr>
            <w:r w:rsidRPr="0043011E">
              <w:rPr>
                <w:rFonts w:asciiTheme="minorHAnsi" w:hAnsiTheme="minorHAnsi"/>
                <w:iCs/>
                <w:sz w:val="20"/>
              </w:rPr>
              <w:t>Ratio of the number of students by population group who complete a minimum of 12 units and have attempted a transfer level course in mathematics or English to the number of students in that group who actually transfer after one or more (up to six) years</w:t>
            </w:r>
          </w:p>
        </w:tc>
        <w:tc>
          <w:tcPr>
            <w:tcW w:w="6077" w:type="dxa"/>
            <w:gridSpan w:val="3"/>
            <w:tcBorders>
              <w:bottom w:val="single" w:sz="4" w:space="0" w:color="808080" w:themeColor="background1" w:themeShade="80"/>
            </w:tcBorders>
          </w:tcPr>
          <w:p w:rsidR="0045061D" w:rsidRPr="00E6766D" w:rsidRDefault="00D4325B" w:rsidP="00D4325B">
            <w:pPr>
              <w:spacing w:after="120"/>
              <w:ind w:left="58"/>
              <w:rPr>
                <w:sz w:val="20"/>
                <w:szCs w:val="20"/>
              </w:rPr>
            </w:pPr>
            <w:r w:rsidRPr="00D4325B">
              <w:rPr>
                <w:rFonts w:eastAsia="Times New Roman" w:cs="Times New Roman"/>
                <w:iCs/>
                <w:sz w:val="20"/>
                <w:szCs w:val="20"/>
              </w:rPr>
              <w:t>The data indicate that Hispanic students, with a 40% transfer rate, experience a disproportionate impact as compared to the transfer rate of White students. Hispanic students achieved only 77 percent as well as the White students.</w:t>
            </w:r>
          </w:p>
        </w:tc>
      </w:tr>
      <w:tr w:rsidR="0045061D" w:rsidTr="00153991">
        <w:trPr>
          <w:jc w:val="center"/>
        </w:trPr>
        <w:tc>
          <w:tcPr>
            <w:tcW w:w="5177" w:type="dxa"/>
            <w:shd w:val="clear" w:color="auto" w:fill="DBE5F1" w:themeFill="accent1" w:themeFillTint="33"/>
            <w:vAlign w:val="bottom"/>
          </w:tcPr>
          <w:p w:rsidR="0045061D" w:rsidRDefault="0045061D" w:rsidP="00F77F14">
            <w:pPr>
              <w:pStyle w:val="Heading3"/>
              <w:spacing w:before="120"/>
            </w:pPr>
            <w:r>
              <w:t>Goals</w:t>
            </w:r>
          </w:p>
        </w:tc>
        <w:tc>
          <w:tcPr>
            <w:tcW w:w="6077" w:type="dxa"/>
            <w:gridSpan w:val="3"/>
            <w:shd w:val="clear" w:color="auto" w:fill="DBE5F1" w:themeFill="accent1" w:themeFillTint="33"/>
            <w:vAlign w:val="bottom"/>
          </w:tcPr>
          <w:p w:rsidR="0045061D" w:rsidRDefault="0045061D" w:rsidP="00F77F14">
            <w:pPr>
              <w:pStyle w:val="Heading3"/>
              <w:spacing w:before="120"/>
            </w:pPr>
            <w:r>
              <w:t>Desired Outcomes</w:t>
            </w:r>
          </w:p>
        </w:tc>
      </w:tr>
      <w:tr w:rsidR="0045061D" w:rsidTr="00153991">
        <w:trPr>
          <w:jc w:val="center"/>
        </w:trPr>
        <w:tc>
          <w:tcPr>
            <w:tcW w:w="5177" w:type="dxa"/>
            <w:tcBorders>
              <w:bottom w:val="single" w:sz="4" w:space="0" w:color="808080" w:themeColor="background1" w:themeShade="80"/>
            </w:tcBorders>
          </w:tcPr>
          <w:p w:rsidR="0045061D" w:rsidRPr="0043011E" w:rsidRDefault="0043011E" w:rsidP="0043011E">
            <w:pPr>
              <w:pStyle w:val="ListParagraph"/>
              <w:numPr>
                <w:ilvl w:val="0"/>
                <w:numId w:val="7"/>
              </w:numPr>
              <w:spacing w:after="120"/>
              <w:ind w:left="479"/>
              <w:contextualSpacing w:val="0"/>
              <w:rPr>
                <w:sz w:val="20"/>
                <w:szCs w:val="20"/>
              </w:rPr>
            </w:pPr>
            <w:r w:rsidRPr="0043011E">
              <w:rPr>
                <w:sz w:val="20"/>
                <w:szCs w:val="20"/>
              </w:rPr>
              <w:t>Increase the transfer rate for Hispanic students (currently this population has a 40% transfer rate).</w:t>
            </w:r>
          </w:p>
          <w:p w:rsidR="0043011E" w:rsidRPr="0043011E" w:rsidRDefault="0043011E" w:rsidP="0043011E">
            <w:pPr>
              <w:pStyle w:val="ListParagraph"/>
              <w:numPr>
                <w:ilvl w:val="0"/>
                <w:numId w:val="7"/>
              </w:numPr>
              <w:spacing w:after="120"/>
              <w:ind w:left="479"/>
              <w:contextualSpacing w:val="0"/>
              <w:rPr>
                <w:sz w:val="20"/>
                <w:szCs w:val="20"/>
              </w:rPr>
            </w:pPr>
            <w:r w:rsidRPr="0043011E">
              <w:rPr>
                <w:sz w:val="20"/>
                <w:szCs w:val="20"/>
              </w:rPr>
              <w:t>Increase the transfer rate for foster youth students.</w:t>
            </w:r>
          </w:p>
          <w:p w:rsidR="0043011E" w:rsidRPr="0013655A" w:rsidRDefault="0043011E" w:rsidP="0043011E">
            <w:pPr>
              <w:pStyle w:val="ListParagraph"/>
              <w:numPr>
                <w:ilvl w:val="0"/>
                <w:numId w:val="7"/>
              </w:numPr>
              <w:spacing w:after="120"/>
              <w:ind w:left="479"/>
              <w:contextualSpacing w:val="0"/>
              <w:rPr>
                <w:sz w:val="20"/>
                <w:szCs w:val="20"/>
              </w:rPr>
            </w:pPr>
            <w:r w:rsidRPr="0043011E">
              <w:rPr>
                <w:sz w:val="20"/>
                <w:szCs w:val="20"/>
              </w:rPr>
              <w:t>Increase the transfer rate for veteran students.</w:t>
            </w:r>
          </w:p>
        </w:tc>
        <w:tc>
          <w:tcPr>
            <w:tcW w:w="6077" w:type="dxa"/>
            <w:gridSpan w:val="3"/>
            <w:tcBorders>
              <w:bottom w:val="single" w:sz="4" w:space="0" w:color="808080" w:themeColor="background1" w:themeShade="80"/>
            </w:tcBorders>
          </w:tcPr>
          <w:p w:rsidR="0045061D" w:rsidRPr="0043011E" w:rsidRDefault="0043011E" w:rsidP="00F77F14">
            <w:pPr>
              <w:pStyle w:val="ListParagraph"/>
              <w:numPr>
                <w:ilvl w:val="0"/>
                <w:numId w:val="1"/>
              </w:numPr>
              <w:spacing w:after="120"/>
              <w:ind w:left="187" w:hanging="187"/>
              <w:contextualSpacing w:val="0"/>
              <w:rPr>
                <w:sz w:val="20"/>
                <w:szCs w:val="20"/>
              </w:rPr>
            </w:pPr>
            <w:r w:rsidRPr="0043011E">
              <w:rPr>
                <w:rFonts w:cs="Times New Roman"/>
                <w:sz w:val="20"/>
                <w:szCs w:val="20"/>
              </w:rPr>
              <w:t>Successful transfer rates for Hispanic students will reach 46% within the next 5 years (with transfer rates of other student populations also improving).</w:t>
            </w:r>
          </w:p>
          <w:p w:rsidR="0043011E" w:rsidRPr="0043011E" w:rsidRDefault="0043011E" w:rsidP="00F77F14">
            <w:pPr>
              <w:pStyle w:val="ListParagraph"/>
              <w:numPr>
                <w:ilvl w:val="0"/>
                <w:numId w:val="1"/>
              </w:numPr>
              <w:spacing w:after="120"/>
              <w:ind w:left="187" w:hanging="187"/>
              <w:contextualSpacing w:val="0"/>
              <w:rPr>
                <w:sz w:val="20"/>
                <w:szCs w:val="20"/>
              </w:rPr>
            </w:pPr>
            <w:r w:rsidRPr="0043011E">
              <w:rPr>
                <w:rFonts w:cs="Times New Roman"/>
                <w:sz w:val="20"/>
                <w:szCs w:val="20"/>
              </w:rPr>
              <w:t xml:space="preserve">Assuming that there is a disproportionate impact, the college will improve successful transfer rates for foster youth students by 5% within the next 5 years, using </w:t>
            </w:r>
            <w:proofErr w:type="gramStart"/>
            <w:r w:rsidRPr="0043011E">
              <w:rPr>
                <w:rFonts w:cs="Times New Roman"/>
                <w:sz w:val="20"/>
                <w:szCs w:val="20"/>
              </w:rPr>
              <w:t>Fall</w:t>
            </w:r>
            <w:proofErr w:type="gramEnd"/>
            <w:r w:rsidRPr="0043011E">
              <w:rPr>
                <w:rFonts w:cs="Times New Roman"/>
                <w:sz w:val="20"/>
                <w:szCs w:val="20"/>
              </w:rPr>
              <w:t xml:space="preserve"> 2014 research to set the baseline completion rate.</w:t>
            </w:r>
          </w:p>
          <w:p w:rsidR="0043011E" w:rsidRPr="00F6128E" w:rsidRDefault="0043011E" w:rsidP="00F77F14">
            <w:pPr>
              <w:pStyle w:val="ListParagraph"/>
              <w:numPr>
                <w:ilvl w:val="0"/>
                <w:numId w:val="1"/>
              </w:numPr>
              <w:spacing w:after="120"/>
              <w:ind w:left="187" w:hanging="187"/>
              <w:contextualSpacing w:val="0"/>
              <w:rPr>
                <w:sz w:val="20"/>
                <w:szCs w:val="20"/>
              </w:rPr>
            </w:pPr>
            <w:r w:rsidRPr="0043011E">
              <w:rPr>
                <w:rFonts w:cs="Times New Roman"/>
                <w:sz w:val="20"/>
                <w:szCs w:val="20"/>
              </w:rPr>
              <w:t xml:space="preserve">Assuming that there is a disproportionate impact, the college will improve successful transfer rates for veteran students by 5% within the next 5 years, using </w:t>
            </w:r>
            <w:proofErr w:type="gramStart"/>
            <w:r w:rsidRPr="0043011E">
              <w:rPr>
                <w:rFonts w:cs="Times New Roman"/>
                <w:sz w:val="20"/>
                <w:szCs w:val="20"/>
              </w:rPr>
              <w:t>Fall</w:t>
            </w:r>
            <w:proofErr w:type="gramEnd"/>
            <w:r w:rsidRPr="0043011E">
              <w:rPr>
                <w:rFonts w:cs="Times New Roman"/>
                <w:sz w:val="20"/>
                <w:szCs w:val="20"/>
              </w:rPr>
              <w:t xml:space="preserve"> 2014 research to set the baseline completion rate.</w:t>
            </w:r>
          </w:p>
        </w:tc>
      </w:tr>
      <w:tr w:rsidR="0045061D" w:rsidTr="0043011E">
        <w:trPr>
          <w:jc w:val="center"/>
        </w:trPr>
        <w:tc>
          <w:tcPr>
            <w:tcW w:w="6167" w:type="dxa"/>
            <w:gridSpan w:val="2"/>
            <w:tcBorders>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Activities from Equity Plan</w:t>
            </w:r>
          </w:p>
        </w:tc>
        <w:tc>
          <w:tcPr>
            <w:tcW w:w="1260" w:type="dxa"/>
            <w:tcBorders>
              <w:left w:val="nil"/>
              <w:bottom w:val="single" w:sz="4" w:space="0" w:color="808080" w:themeColor="background1" w:themeShade="80"/>
              <w:right w:val="nil"/>
            </w:tcBorders>
            <w:shd w:val="clear" w:color="auto" w:fill="DBE5F1" w:themeFill="accent1" w:themeFillTint="33"/>
            <w:vAlign w:val="bottom"/>
          </w:tcPr>
          <w:p w:rsidR="0045061D" w:rsidRDefault="0045061D" w:rsidP="00F77F14">
            <w:pPr>
              <w:pStyle w:val="Heading3"/>
              <w:spacing w:before="120"/>
            </w:pPr>
            <w:r>
              <w:t>Timeline</w:t>
            </w:r>
          </w:p>
        </w:tc>
        <w:tc>
          <w:tcPr>
            <w:tcW w:w="3827" w:type="dxa"/>
            <w:tcBorders>
              <w:left w:val="nil"/>
              <w:bottom w:val="single" w:sz="4" w:space="0" w:color="808080" w:themeColor="background1" w:themeShade="80"/>
            </w:tcBorders>
            <w:shd w:val="clear" w:color="auto" w:fill="DBE5F1" w:themeFill="accent1" w:themeFillTint="33"/>
            <w:vAlign w:val="bottom"/>
          </w:tcPr>
          <w:p w:rsidR="0045061D" w:rsidRDefault="0045061D" w:rsidP="00F77F14">
            <w:pPr>
              <w:pStyle w:val="Heading3"/>
              <w:spacing w:before="120"/>
            </w:pPr>
            <w:r>
              <w:t>Responsible Party</w:t>
            </w:r>
          </w:p>
        </w:tc>
      </w:tr>
      <w:tr w:rsidR="0043011E" w:rsidRPr="00F6128E" w:rsidTr="0043011E">
        <w:trPr>
          <w:jc w:val="center"/>
        </w:trPr>
        <w:tc>
          <w:tcPr>
            <w:tcW w:w="61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3011E" w:rsidRPr="0043011E" w:rsidRDefault="0043011E" w:rsidP="0043011E">
            <w:pPr>
              <w:rPr>
                <w:rFonts w:cs="Times New Roman"/>
                <w:sz w:val="20"/>
                <w:szCs w:val="20"/>
              </w:rPr>
            </w:pPr>
            <w:r w:rsidRPr="0043011E">
              <w:rPr>
                <w:rFonts w:cs="Times New Roman"/>
                <w:sz w:val="20"/>
                <w:szCs w:val="20"/>
              </w:rPr>
              <w:t>Further review completion data to determine potential barriers to success for Special Population students.</w:t>
            </w:r>
          </w:p>
        </w:tc>
        <w:tc>
          <w:tcPr>
            <w:tcW w:w="1260" w:type="dxa"/>
            <w:tcBorders>
              <w:top w:val="single" w:sz="4" w:space="0" w:color="808080" w:themeColor="background1" w:themeShade="80"/>
              <w:left w:val="nil"/>
              <w:bottom w:val="single" w:sz="4" w:space="0" w:color="808080" w:themeColor="background1" w:themeShade="80"/>
              <w:right w:val="nil"/>
            </w:tcBorders>
          </w:tcPr>
          <w:p w:rsidR="0043011E" w:rsidRPr="0043011E" w:rsidRDefault="0043011E" w:rsidP="00F77F14">
            <w:pPr>
              <w:rPr>
                <w:rFonts w:cs="Times New Roman"/>
                <w:sz w:val="20"/>
                <w:szCs w:val="20"/>
              </w:rPr>
            </w:pPr>
            <w:r w:rsidRPr="0043011E">
              <w:rPr>
                <w:rFonts w:cs="Times New Roman"/>
                <w:sz w:val="20"/>
                <w:szCs w:val="20"/>
              </w:rPr>
              <w:t>Year 1:</w:t>
            </w:r>
          </w:p>
          <w:p w:rsidR="0043011E" w:rsidRPr="0043011E" w:rsidRDefault="0043011E" w:rsidP="00F77F14">
            <w:pPr>
              <w:rPr>
                <w:rFonts w:cs="Times New Roman"/>
                <w:sz w:val="20"/>
                <w:szCs w:val="20"/>
              </w:rPr>
            </w:pPr>
            <w:r w:rsidRPr="0043011E">
              <w:rPr>
                <w:rFonts w:cs="Times New Roman"/>
                <w:sz w:val="20"/>
                <w:szCs w:val="20"/>
              </w:rPr>
              <w:t>2014-2015</w:t>
            </w:r>
          </w:p>
        </w:tc>
        <w:tc>
          <w:tcPr>
            <w:tcW w:w="38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3011E" w:rsidRPr="0043011E" w:rsidRDefault="0043011E" w:rsidP="00F77F14">
            <w:pPr>
              <w:rPr>
                <w:rFonts w:cs="Times New Roman"/>
                <w:sz w:val="20"/>
                <w:szCs w:val="20"/>
              </w:rPr>
            </w:pPr>
            <w:r w:rsidRPr="0043011E">
              <w:rPr>
                <w:rFonts w:cs="Times New Roman"/>
                <w:sz w:val="20"/>
                <w:szCs w:val="20"/>
              </w:rPr>
              <w:t>Office of Student Learning, Student Success and Equity Committee, Instructional Program Faculty</w:t>
            </w:r>
          </w:p>
        </w:tc>
      </w:tr>
      <w:tr w:rsidR="0043011E" w:rsidRPr="002D59B4" w:rsidTr="0043011E">
        <w:trPr>
          <w:jc w:val="center"/>
        </w:trPr>
        <w:tc>
          <w:tcPr>
            <w:tcW w:w="61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3011E" w:rsidRPr="0043011E" w:rsidRDefault="0043011E" w:rsidP="00F77F14">
            <w:pPr>
              <w:rPr>
                <w:rFonts w:cs="Times New Roman"/>
                <w:sz w:val="20"/>
                <w:szCs w:val="20"/>
              </w:rPr>
            </w:pPr>
            <w:r w:rsidRPr="0043011E">
              <w:rPr>
                <w:rFonts w:cs="Times New Roman"/>
                <w:sz w:val="20"/>
                <w:szCs w:val="20"/>
              </w:rPr>
              <w:t>Review and complete two-year course sequencing patterns for each program, and for general education, to identify any potential barriers to student transfer within a 3-year timeframe (ideally a 2-year timeframe, whenever possible).</w:t>
            </w:r>
          </w:p>
        </w:tc>
        <w:tc>
          <w:tcPr>
            <w:tcW w:w="1260" w:type="dxa"/>
            <w:tcBorders>
              <w:top w:val="single" w:sz="4" w:space="0" w:color="808080" w:themeColor="background1" w:themeShade="80"/>
              <w:left w:val="nil"/>
              <w:bottom w:val="single" w:sz="4" w:space="0" w:color="808080" w:themeColor="background1" w:themeShade="80"/>
              <w:right w:val="nil"/>
            </w:tcBorders>
          </w:tcPr>
          <w:p w:rsidR="0043011E" w:rsidRPr="0043011E" w:rsidRDefault="0043011E" w:rsidP="00F77F14">
            <w:pPr>
              <w:rPr>
                <w:rFonts w:cs="Times New Roman"/>
                <w:sz w:val="20"/>
                <w:szCs w:val="20"/>
              </w:rPr>
            </w:pPr>
            <w:r w:rsidRPr="0043011E">
              <w:rPr>
                <w:rFonts w:cs="Times New Roman"/>
                <w:sz w:val="20"/>
                <w:szCs w:val="20"/>
              </w:rPr>
              <w:t>Year 2:</w:t>
            </w:r>
          </w:p>
          <w:p w:rsidR="0043011E" w:rsidRPr="0043011E" w:rsidRDefault="0043011E" w:rsidP="00F77F14">
            <w:pPr>
              <w:rPr>
                <w:rFonts w:cs="Times New Roman"/>
                <w:sz w:val="20"/>
                <w:szCs w:val="20"/>
              </w:rPr>
            </w:pPr>
            <w:r w:rsidRPr="0043011E">
              <w:rPr>
                <w:rFonts w:cs="Times New Roman"/>
                <w:sz w:val="20"/>
                <w:szCs w:val="20"/>
              </w:rPr>
              <w:t>2015-2016</w:t>
            </w:r>
          </w:p>
        </w:tc>
        <w:tc>
          <w:tcPr>
            <w:tcW w:w="38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3011E" w:rsidRPr="0043011E" w:rsidRDefault="0043011E" w:rsidP="00F77F14">
            <w:pPr>
              <w:rPr>
                <w:rFonts w:cs="Times New Roman"/>
                <w:sz w:val="20"/>
                <w:szCs w:val="20"/>
              </w:rPr>
            </w:pPr>
            <w:r w:rsidRPr="0043011E">
              <w:rPr>
                <w:rFonts w:cs="Times New Roman"/>
                <w:sz w:val="20"/>
                <w:szCs w:val="20"/>
              </w:rPr>
              <w:t>Deans, Instructional Program Faculty, Counseling</w:t>
            </w:r>
          </w:p>
        </w:tc>
      </w:tr>
      <w:tr w:rsidR="0043011E" w:rsidRPr="002D59B4" w:rsidTr="0043011E">
        <w:trPr>
          <w:jc w:val="center"/>
        </w:trPr>
        <w:tc>
          <w:tcPr>
            <w:tcW w:w="61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3011E" w:rsidRPr="0043011E" w:rsidRDefault="0043011E" w:rsidP="00F77F14">
            <w:pPr>
              <w:rPr>
                <w:rFonts w:cs="Times New Roman"/>
                <w:sz w:val="20"/>
                <w:szCs w:val="20"/>
              </w:rPr>
            </w:pPr>
            <w:r w:rsidRPr="0043011E">
              <w:rPr>
                <w:rFonts w:cs="Times New Roman"/>
                <w:sz w:val="20"/>
                <w:szCs w:val="20"/>
              </w:rPr>
              <w:t xml:space="preserve">Provide follow-up-orientations, contacts, counseling for special populations such as ACCESS, EOPS Athletics, Veterans, </w:t>
            </w:r>
            <w:proofErr w:type="spellStart"/>
            <w:r w:rsidRPr="0043011E">
              <w:rPr>
                <w:rFonts w:cs="Times New Roman"/>
                <w:sz w:val="20"/>
                <w:szCs w:val="20"/>
              </w:rPr>
              <w:t>CalWorks</w:t>
            </w:r>
            <w:proofErr w:type="spellEnd"/>
            <w:r w:rsidRPr="0043011E">
              <w:rPr>
                <w:rFonts w:cs="Times New Roman"/>
                <w:sz w:val="20"/>
                <w:szCs w:val="20"/>
              </w:rPr>
              <w:t xml:space="preserve">, International Students, Foster Youth, </w:t>
            </w:r>
            <w:proofErr w:type="gramStart"/>
            <w:r w:rsidRPr="0043011E">
              <w:rPr>
                <w:rFonts w:cs="Times New Roman"/>
                <w:sz w:val="20"/>
                <w:szCs w:val="20"/>
              </w:rPr>
              <w:t>AB540</w:t>
            </w:r>
            <w:proofErr w:type="gramEnd"/>
            <w:r w:rsidRPr="0043011E">
              <w:rPr>
                <w:rFonts w:cs="Times New Roman"/>
                <w:sz w:val="20"/>
                <w:szCs w:val="20"/>
              </w:rPr>
              <w:t>/Dream Act.</w:t>
            </w:r>
          </w:p>
        </w:tc>
        <w:tc>
          <w:tcPr>
            <w:tcW w:w="1260" w:type="dxa"/>
            <w:tcBorders>
              <w:top w:val="single" w:sz="4" w:space="0" w:color="808080" w:themeColor="background1" w:themeShade="80"/>
              <w:left w:val="nil"/>
              <w:bottom w:val="single" w:sz="4" w:space="0" w:color="808080" w:themeColor="background1" w:themeShade="80"/>
              <w:right w:val="nil"/>
            </w:tcBorders>
          </w:tcPr>
          <w:p w:rsidR="0043011E" w:rsidRPr="0043011E" w:rsidRDefault="0043011E" w:rsidP="00F77F14">
            <w:pPr>
              <w:rPr>
                <w:rFonts w:cs="Times New Roman"/>
                <w:sz w:val="20"/>
                <w:szCs w:val="20"/>
              </w:rPr>
            </w:pPr>
            <w:r w:rsidRPr="0043011E">
              <w:rPr>
                <w:rFonts w:cs="Times New Roman"/>
                <w:sz w:val="20"/>
                <w:szCs w:val="20"/>
              </w:rPr>
              <w:t>Year 3:</w:t>
            </w:r>
          </w:p>
          <w:p w:rsidR="0043011E" w:rsidRPr="0043011E" w:rsidRDefault="0043011E" w:rsidP="00F77F14">
            <w:pPr>
              <w:rPr>
                <w:rFonts w:cs="Times New Roman"/>
                <w:sz w:val="20"/>
                <w:szCs w:val="20"/>
              </w:rPr>
            </w:pPr>
            <w:r w:rsidRPr="0043011E">
              <w:rPr>
                <w:rFonts w:cs="Times New Roman"/>
                <w:sz w:val="20"/>
                <w:szCs w:val="20"/>
              </w:rPr>
              <w:t>2016-2017</w:t>
            </w:r>
          </w:p>
        </w:tc>
        <w:tc>
          <w:tcPr>
            <w:tcW w:w="38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3011E" w:rsidRPr="0043011E" w:rsidRDefault="0043011E" w:rsidP="00F77F14">
            <w:pPr>
              <w:rPr>
                <w:rFonts w:cs="Times New Roman"/>
                <w:sz w:val="20"/>
                <w:szCs w:val="20"/>
              </w:rPr>
            </w:pPr>
            <w:r w:rsidRPr="0043011E">
              <w:rPr>
                <w:rFonts w:cs="Times New Roman"/>
                <w:sz w:val="20"/>
                <w:szCs w:val="20"/>
              </w:rPr>
              <w:t>Deans, Counseling, Outreach, Registrar, Office of Institutional Research</w:t>
            </w:r>
          </w:p>
        </w:tc>
      </w:tr>
    </w:tbl>
    <w:p w:rsidR="00E4083C" w:rsidRPr="00D5535E" w:rsidRDefault="00E4083C" w:rsidP="00C52596"/>
    <w:sectPr w:rsidR="00E4083C" w:rsidRPr="00D5535E" w:rsidSect="002D59B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1F" w:rsidRDefault="0003621F" w:rsidP="0045061D">
      <w:r>
        <w:separator/>
      </w:r>
    </w:p>
  </w:endnote>
  <w:endnote w:type="continuationSeparator" w:id="0">
    <w:p w:rsidR="0003621F" w:rsidRDefault="0003621F" w:rsidP="004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1F" w:rsidRDefault="0003621F" w:rsidP="0045061D">
      <w:r>
        <w:separator/>
      </w:r>
    </w:p>
  </w:footnote>
  <w:footnote w:type="continuationSeparator" w:id="0">
    <w:p w:rsidR="0003621F" w:rsidRDefault="0003621F" w:rsidP="0045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8" w:rsidRDefault="00C54E68" w:rsidP="00C54E68">
    <w:pPr>
      <w:pStyle w:val="Heading1"/>
      <w:jc w:val="center"/>
    </w:pPr>
    <w:r>
      <w:t>2014-15 Student Equity Plan Worksheet</w:t>
    </w:r>
  </w:p>
  <w:p w:rsidR="00C54E68" w:rsidRDefault="00C54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C1C"/>
    <w:multiLevelType w:val="hybridMultilevel"/>
    <w:tmpl w:val="7DC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4076"/>
    <w:multiLevelType w:val="hybridMultilevel"/>
    <w:tmpl w:val="656429A4"/>
    <w:lvl w:ilvl="0" w:tplc="8BA6F3B6">
      <w:start w:val="1"/>
      <w:numFmt w:val="decimal"/>
      <w:lvlText w:val="G-%1."/>
      <w:lvlJc w:val="left"/>
      <w:pPr>
        <w:ind w:left="720" w:hanging="360"/>
      </w:pPr>
      <w:rPr>
        <w:rFonts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0BD3"/>
    <w:multiLevelType w:val="hybridMultilevel"/>
    <w:tmpl w:val="656429A4"/>
    <w:lvl w:ilvl="0" w:tplc="8BA6F3B6">
      <w:start w:val="1"/>
      <w:numFmt w:val="decimal"/>
      <w:lvlText w:val="G-%1."/>
      <w:lvlJc w:val="left"/>
      <w:pPr>
        <w:ind w:left="720" w:hanging="360"/>
      </w:pPr>
      <w:rPr>
        <w:rFonts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204B9"/>
    <w:multiLevelType w:val="hybridMultilevel"/>
    <w:tmpl w:val="656429A4"/>
    <w:lvl w:ilvl="0" w:tplc="8BA6F3B6">
      <w:start w:val="1"/>
      <w:numFmt w:val="decimal"/>
      <w:lvlText w:val="G-%1."/>
      <w:lvlJc w:val="left"/>
      <w:pPr>
        <w:ind w:left="720" w:hanging="360"/>
      </w:pPr>
      <w:rPr>
        <w:rFonts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D1873"/>
    <w:multiLevelType w:val="hybridMultilevel"/>
    <w:tmpl w:val="9978156A"/>
    <w:lvl w:ilvl="0" w:tplc="A502EC30">
      <w:start w:val="1"/>
      <w:numFmt w:val="bullet"/>
      <w:lvlText w:val=""/>
      <w:lvlJc w:val="left"/>
      <w:pPr>
        <w:ind w:left="720" w:hanging="360"/>
      </w:pPr>
      <w:rPr>
        <w:rFonts w:ascii="Symbol" w:hAnsi="Symbol"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2347"/>
    <w:multiLevelType w:val="hybridMultilevel"/>
    <w:tmpl w:val="656429A4"/>
    <w:lvl w:ilvl="0" w:tplc="8BA6F3B6">
      <w:start w:val="1"/>
      <w:numFmt w:val="decimal"/>
      <w:lvlText w:val="G-%1."/>
      <w:lvlJc w:val="left"/>
      <w:pPr>
        <w:ind w:left="720" w:hanging="360"/>
      </w:pPr>
      <w:rPr>
        <w:rFonts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53C79"/>
    <w:multiLevelType w:val="hybridMultilevel"/>
    <w:tmpl w:val="656429A4"/>
    <w:lvl w:ilvl="0" w:tplc="8BA6F3B6">
      <w:start w:val="1"/>
      <w:numFmt w:val="decimal"/>
      <w:lvlText w:val="G-%1."/>
      <w:lvlJc w:val="left"/>
      <w:pPr>
        <w:ind w:left="720" w:hanging="360"/>
      </w:pPr>
      <w:rPr>
        <w:rFonts w:hint="default"/>
        <w:color w:val="A6A6A6" w:themeColor="background1" w:themeShade="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16C96"/>
    <w:multiLevelType w:val="hybridMultilevel"/>
    <w:tmpl w:val="F580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53817"/>
    <w:multiLevelType w:val="hybridMultilevel"/>
    <w:tmpl w:val="0E2648B6"/>
    <w:lvl w:ilvl="0" w:tplc="A502EC30">
      <w:start w:val="1"/>
      <w:numFmt w:val="bullet"/>
      <w:lvlText w:val=""/>
      <w:lvlJc w:val="left"/>
      <w:pPr>
        <w:ind w:left="778" w:hanging="360"/>
      </w:pPr>
      <w:rPr>
        <w:rFonts w:ascii="Symbol" w:hAnsi="Symbol" w:hint="default"/>
        <w:color w:val="A6A6A6" w:themeColor="background1" w:themeShade="A6"/>
        <w:sz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5E"/>
    <w:rsid w:val="0003621F"/>
    <w:rsid w:val="000B5DCF"/>
    <w:rsid w:val="00125F31"/>
    <w:rsid w:val="0013655A"/>
    <w:rsid w:val="00153991"/>
    <w:rsid w:val="001572FD"/>
    <w:rsid w:val="001B6809"/>
    <w:rsid w:val="00256D9A"/>
    <w:rsid w:val="002B65B9"/>
    <w:rsid w:val="002D59B4"/>
    <w:rsid w:val="002E2391"/>
    <w:rsid w:val="003D33D0"/>
    <w:rsid w:val="00400C8D"/>
    <w:rsid w:val="0043011E"/>
    <w:rsid w:val="0045061D"/>
    <w:rsid w:val="004E5121"/>
    <w:rsid w:val="00564CD2"/>
    <w:rsid w:val="00887518"/>
    <w:rsid w:val="009C6909"/>
    <w:rsid w:val="00A04FD9"/>
    <w:rsid w:val="00AF1462"/>
    <w:rsid w:val="00BE418B"/>
    <w:rsid w:val="00C432DC"/>
    <w:rsid w:val="00C52596"/>
    <w:rsid w:val="00C54E68"/>
    <w:rsid w:val="00CD1FB1"/>
    <w:rsid w:val="00CF793C"/>
    <w:rsid w:val="00D01099"/>
    <w:rsid w:val="00D4325B"/>
    <w:rsid w:val="00D5535E"/>
    <w:rsid w:val="00D55C11"/>
    <w:rsid w:val="00D75714"/>
    <w:rsid w:val="00D84555"/>
    <w:rsid w:val="00DA0884"/>
    <w:rsid w:val="00E4083C"/>
    <w:rsid w:val="00E47F23"/>
    <w:rsid w:val="00E6766D"/>
    <w:rsid w:val="00F5153B"/>
    <w:rsid w:val="00F6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E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53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3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5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53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535E"/>
    <w:pPr>
      <w:ind w:left="720"/>
      <w:contextualSpacing/>
    </w:pPr>
  </w:style>
  <w:style w:type="paragraph" w:styleId="BalloonText">
    <w:name w:val="Balloon Text"/>
    <w:basedOn w:val="Normal"/>
    <w:link w:val="BalloonTextChar"/>
    <w:uiPriority w:val="99"/>
    <w:semiHidden/>
    <w:unhideWhenUsed/>
    <w:rsid w:val="004E5121"/>
    <w:rPr>
      <w:rFonts w:ascii="Tahoma" w:hAnsi="Tahoma" w:cs="Tahoma"/>
      <w:sz w:val="16"/>
      <w:szCs w:val="16"/>
    </w:rPr>
  </w:style>
  <w:style w:type="character" w:customStyle="1" w:styleId="BalloonTextChar">
    <w:name w:val="Balloon Text Char"/>
    <w:basedOn w:val="DefaultParagraphFont"/>
    <w:link w:val="BalloonText"/>
    <w:uiPriority w:val="99"/>
    <w:semiHidden/>
    <w:rsid w:val="004E5121"/>
    <w:rPr>
      <w:rFonts w:ascii="Tahoma" w:hAnsi="Tahoma" w:cs="Tahoma"/>
      <w:sz w:val="16"/>
      <w:szCs w:val="16"/>
    </w:rPr>
  </w:style>
  <w:style w:type="paragraph" w:styleId="Header">
    <w:name w:val="header"/>
    <w:basedOn w:val="Normal"/>
    <w:link w:val="HeaderChar"/>
    <w:uiPriority w:val="99"/>
    <w:rsid w:val="002D59B4"/>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59B4"/>
    <w:rPr>
      <w:rFonts w:ascii="Times New Roman" w:eastAsia="Times New Roman" w:hAnsi="Times New Roman" w:cs="Times New Roman"/>
      <w:sz w:val="24"/>
      <w:szCs w:val="20"/>
    </w:rPr>
  </w:style>
  <w:style w:type="character" w:styleId="Hyperlink">
    <w:name w:val="Hyperlink"/>
    <w:uiPriority w:val="99"/>
    <w:rsid w:val="0045061D"/>
    <w:rPr>
      <w:color w:val="0000FF"/>
      <w:u w:val="single"/>
    </w:rPr>
  </w:style>
  <w:style w:type="paragraph" w:styleId="FootnoteText">
    <w:name w:val="footnote text"/>
    <w:basedOn w:val="Normal"/>
    <w:link w:val="FootnoteTextChar"/>
    <w:semiHidden/>
    <w:unhideWhenUsed/>
    <w:rsid w:val="0045061D"/>
    <w:rPr>
      <w:sz w:val="20"/>
      <w:szCs w:val="20"/>
    </w:rPr>
  </w:style>
  <w:style w:type="character" w:customStyle="1" w:styleId="FootnoteTextChar">
    <w:name w:val="Footnote Text Char"/>
    <w:basedOn w:val="DefaultParagraphFont"/>
    <w:link w:val="FootnoteText"/>
    <w:semiHidden/>
    <w:rsid w:val="0045061D"/>
    <w:rPr>
      <w:sz w:val="20"/>
      <w:szCs w:val="20"/>
    </w:rPr>
  </w:style>
  <w:style w:type="character" w:styleId="FootnoteReference">
    <w:name w:val="footnote reference"/>
    <w:basedOn w:val="DefaultParagraphFont"/>
    <w:semiHidden/>
    <w:unhideWhenUsed/>
    <w:rsid w:val="0045061D"/>
    <w:rPr>
      <w:vertAlign w:val="superscript"/>
    </w:rPr>
  </w:style>
  <w:style w:type="paragraph" w:styleId="Title">
    <w:name w:val="Title"/>
    <w:basedOn w:val="Normal"/>
    <w:link w:val="TitleChar"/>
    <w:qFormat/>
    <w:rsid w:val="002B65B9"/>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B65B9"/>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C54E68"/>
    <w:pPr>
      <w:tabs>
        <w:tab w:val="center" w:pos="4680"/>
        <w:tab w:val="right" w:pos="9360"/>
      </w:tabs>
    </w:pPr>
  </w:style>
  <w:style w:type="character" w:customStyle="1" w:styleId="FooterChar">
    <w:name w:val="Footer Char"/>
    <w:basedOn w:val="DefaultParagraphFont"/>
    <w:link w:val="Footer"/>
    <w:uiPriority w:val="99"/>
    <w:rsid w:val="00C54E68"/>
  </w:style>
  <w:style w:type="character" w:customStyle="1" w:styleId="Heading1Char">
    <w:name w:val="Heading 1 Char"/>
    <w:basedOn w:val="DefaultParagraphFont"/>
    <w:link w:val="Heading1"/>
    <w:uiPriority w:val="9"/>
    <w:rsid w:val="00C54E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E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53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3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5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53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535E"/>
    <w:pPr>
      <w:ind w:left="720"/>
      <w:contextualSpacing/>
    </w:pPr>
  </w:style>
  <w:style w:type="paragraph" w:styleId="BalloonText">
    <w:name w:val="Balloon Text"/>
    <w:basedOn w:val="Normal"/>
    <w:link w:val="BalloonTextChar"/>
    <w:uiPriority w:val="99"/>
    <w:semiHidden/>
    <w:unhideWhenUsed/>
    <w:rsid w:val="004E5121"/>
    <w:rPr>
      <w:rFonts w:ascii="Tahoma" w:hAnsi="Tahoma" w:cs="Tahoma"/>
      <w:sz w:val="16"/>
      <w:szCs w:val="16"/>
    </w:rPr>
  </w:style>
  <w:style w:type="character" w:customStyle="1" w:styleId="BalloonTextChar">
    <w:name w:val="Balloon Text Char"/>
    <w:basedOn w:val="DefaultParagraphFont"/>
    <w:link w:val="BalloonText"/>
    <w:uiPriority w:val="99"/>
    <w:semiHidden/>
    <w:rsid w:val="004E5121"/>
    <w:rPr>
      <w:rFonts w:ascii="Tahoma" w:hAnsi="Tahoma" w:cs="Tahoma"/>
      <w:sz w:val="16"/>
      <w:szCs w:val="16"/>
    </w:rPr>
  </w:style>
  <w:style w:type="paragraph" w:styleId="Header">
    <w:name w:val="header"/>
    <w:basedOn w:val="Normal"/>
    <w:link w:val="HeaderChar"/>
    <w:uiPriority w:val="99"/>
    <w:rsid w:val="002D59B4"/>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59B4"/>
    <w:rPr>
      <w:rFonts w:ascii="Times New Roman" w:eastAsia="Times New Roman" w:hAnsi="Times New Roman" w:cs="Times New Roman"/>
      <w:sz w:val="24"/>
      <w:szCs w:val="20"/>
    </w:rPr>
  </w:style>
  <w:style w:type="character" w:styleId="Hyperlink">
    <w:name w:val="Hyperlink"/>
    <w:uiPriority w:val="99"/>
    <w:rsid w:val="0045061D"/>
    <w:rPr>
      <w:color w:val="0000FF"/>
      <w:u w:val="single"/>
    </w:rPr>
  </w:style>
  <w:style w:type="paragraph" w:styleId="FootnoteText">
    <w:name w:val="footnote text"/>
    <w:basedOn w:val="Normal"/>
    <w:link w:val="FootnoteTextChar"/>
    <w:semiHidden/>
    <w:unhideWhenUsed/>
    <w:rsid w:val="0045061D"/>
    <w:rPr>
      <w:sz w:val="20"/>
      <w:szCs w:val="20"/>
    </w:rPr>
  </w:style>
  <w:style w:type="character" w:customStyle="1" w:styleId="FootnoteTextChar">
    <w:name w:val="Footnote Text Char"/>
    <w:basedOn w:val="DefaultParagraphFont"/>
    <w:link w:val="FootnoteText"/>
    <w:semiHidden/>
    <w:rsid w:val="0045061D"/>
    <w:rPr>
      <w:sz w:val="20"/>
      <w:szCs w:val="20"/>
    </w:rPr>
  </w:style>
  <w:style w:type="character" w:styleId="FootnoteReference">
    <w:name w:val="footnote reference"/>
    <w:basedOn w:val="DefaultParagraphFont"/>
    <w:semiHidden/>
    <w:unhideWhenUsed/>
    <w:rsid w:val="0045061D"/>
    <w:rPr>
      <w:vertAlign w:val="superscript"/>
    </w:rPr>
  </w:style>
  <w:style w:type="paragraph" w:styleId="Title">
    <w:name w:val="Title"/>
    <w:basedOn w:val="Normal"/>
    <w:link w:val="TitleChar"/>
    <w:qFormat/>
    <w:rsid w:val="002B65B9"/>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B65B9"/>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C54E68"/>
    <w:pPr>
      <w:tabs>
        <w:tab w:val="center" w:pos="4680"/>
        <w:tab w:val="right" w:pos="9360"/>
      </w:tabs>
    </w:pPr>
  </w:style>
  <w:style w:type="character" w:customStyle="1" w:styleId="FooterChar">
    <w:name w:val="Footer Char"/>
    <w:basedOn w:val="DefaultParagraphFont"/>
    <w:link w:val="Footer"/>
    <w:uiPriority w:val="99"/>
    <w:rsid w:val="00C54E68"/>
  </w:style>
  <w:style w:type="character" w:customStyle="1" w:styleId="Heading1Char">
    <w:name w:val="Heading 1 Char"/>
    <w:basedOn w:val="DefaultParagraphFont"/>
    <w:link w:val="Heading1"/>
    <w:uiPriority w:val="9"/>
    <w:rsid w:val="00C54E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michelle_castelo1</cp:lastModifiedBy>
  <cp:revision>3</cp:revision>
  <cp:lastPrinted>2015-01-28T19:43:00Z</cp:lastPrinted>
  <dcterms:created xsi:type="dcterms:W3CDTF">2015-01-28T19:44:00Z</dcterms:created>
  <dcterms:modified xsi:type="dcterms:W3CDTF">2015-02-25T17:43:00Z</dcterms:modified>
</cp:coreProperties>
</file>