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D02E95" w:rsidP="00D02E95">
                                  <w:pPr>
                                    <w:spacing w:after="0"/>
                                    <w:jc w:val="center"/>
                                    <w:rPr>
                                      <w:sz w:val="20"/>
                                      <w:szCs w:val="20"/>
                                    </w:rPr>
                                  </w:pPr>
                                  <w:r>
                                    <w:rPr>
                                      <w:sz w:val="20"/>
                                      <w:szCs w:val="20"/>
                                    </w:rPr>
                                    <w:t>01/23 , 02/27 , 04/2</w:t>
                                  </w:r>
                                  <w:r w:rsidR="001A4ED3">
                                    <w:rPr>
                                      <w:sz w:val="20"/>
                                      <w:szCs w:val="20"/>
                                    </w:rPr>
                                    <w:t>4</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D02E95" w:rsidP="00D02E95">
                            <w:pPr>
                              <w:spacing w:after="0"/>
                              <w:jc w:val="center"/>
                              <w:rPr>
                                <w:sz w:val="20"/>
                                <w:szCs w:val="20"/>
                              </w:rPr>
                            </w:pPr>
                            <w:r>
                              <w:rPr>
                                <w:sz w:val="20"/>
                                <w:szCs w:val="20"/>
                              </w:rPr>
                              <w:t>01/23 , 02/27 , 04/2</w:t>
                            </w:r>
                            <w:r w:rsidR="001A4ED3">
                              <w:rPr>
                                <w:sz w:val="20"/>
                                <w:szCs w:val="20"/>
                              </w:rPr>
                              <w:t>4</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D97A11" w:rsidP="00F66443">
      <w:pPr>
        <w:spacing w:after="0" w:line="240" w:lineRule="auto"/>
        <w:jc w:val="center"/>
        <w:rPr>
          <w:rFonts w:eastAsia="Times New Roman" w:cs="Times New Roman"/>
          <w:b/>
          <w:szCs w:val="24"/>
        </w:rPr>
      </w:pPr>
      <w:r>
        <w:rPr>
          <w:rFonts w:eastAsia="Times New Roman" w:cs="Times New Roman"/>
          <w:b/>
          <w:szCs w:val="24"/>
        </w:rPr>
        <w:t>January</w:t>
      </w:r>
      <w:r w:rsidR="009F74E0">
        <w:rPr>
          <w:rFonts w:eastAsia="Times New Roman" w:cs="Times New Roman"/>
          <w:b/>
          <w:szCs w:val="24"/>
        </w:rPr>
        <w:t xml:space="preserve"> </w:t>
      </w:r>
      <w:r w:rsidR="00D02E95">
        <w:rPr>
          <w:rFonts w:eastAsia="Times New Roman" w:cs="Times New Roman"/>
          <w:b/>
          <w:szCs w:val="24"/>
        </w:rPr>
        <w:t>2</w:t>
      </w:r>
      <w:r>
        <w:rPr>
          <w:rFonts w:eastAsia="Times New Roman" w:cs="Times New Roman"/>
          <w:b/>
          <w:szCs w:val="24"/>
        </w:rPr>
        <w:t>3</w:t>
      </w:r>
      <w:r w:rsidR="009F74E0">
        <w:rPr>
          <w:rFonts w:eastAsia="Times New Roman" w:cs="Times New Roman"/>
          <w:b/>
          <w:szCs w:val="24"/>
        </w:rPr>
        <w:t>, 201</w:t>
      </w:r>
      <w:r>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1A4ED3"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34"/>
        <w:gridCol w:w="1479"/>
        <w:gridCol w:w="316"/>
        <w:gridCol w:w="3000"/>
        <w:gridCol w:w="2116"/>
        <w:gridCol w:w="316"/>
        <w:gridCol w:w="1838"/>
        <w:gridCol w:w="282"/>
        <w:gridCol w:w="1879"/>
        <w:gridCol w:w="316"/>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B67985" w:rsidP="008F7328">
            <w:pPr>
              <w:spacing w:after="120"/>
              <w:contextualSpacing/>
              <w:rPr>
                <w:sz w:val="18"/>
                <w:szCs w:val="18"/>
              </w:rPr>
            </w:pPr>
            <w:r>
              <w:rPr>
                <w:sz w:val="18"/>
                <w:szCs w:val="18"/>
              </w:rPr>
              <w:t>Traci Allen</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bookmarkStart w:id="0" w:name="_GoBack"/>
            <w:bookmarkEnd w:id="0"/>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Mary Rees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B67985" w:rsidP="008F7328">
            <w:pPr>
              <w:spacing w:after="120"/>
              <w:contextualSpacing/>
              <w:jc w:val="center"/>
              <w:rPr>
                <w:b/>
                <w:sz w:val="18"/>
                <w:szCs w:val="18"/>
              </w:rPr>
            </w:pPr>
            <w:r>
              <w:rPr>
                <w:b/>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B67985" w:rsidP="002C580E">
            <w:pPr>
              <w:spacing w:after="120"/>
              <w:contextualSpacing/>
              <w:jc w:val="center"/>
              <w:rPr>
                <w:b/>
                <w:sz w:val="18"/>
                <w:szCs w:val="18"/>
              </w:rPr>
            </w:pPr>
            <w:r>
              <w:rPr>
                <w:b/>
                <w:sz w:val="18"/>
                <w:szCs w:val="18"/>
              </w:rPr>
              <w:t>X</w:t>
            </w: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B67985" w:rsidP="002C580E">
            <w:pPr>
              <w:spacing w:after="120"/>
              <w:contextualSpacing/>
              <w:jc w:val="center"/>
              <w:rPr>
                <w:b/>
                <w:sz w:val="18"/>
                <w:szCs w:val="18"/>
              </w:rPr>
            </w:pPr>
            <w:r>
              <w:rPr>
                <w:b/>
                <w:sz w:val="18"/>
                <w:szCs w:val="18"/>
              </w:rPr>
              <w:t>X</w:t>
            </w: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B67985" w:rsidP="002C580E">
            <w:pPr>
              <w:spacing w:after="120"/>
              <w:contextualSpacing/>
              <w:jc w:val="center"/>
              <w:rPr>
                <w:b/>
                <w:sz w:val="18"/>
                <w:szCs w:val="18"/>
              </w:rPr>
            </w:pPr>
            <w:r>
              <w:rPr>
                <w:b/>
                <w:sz w:val="18"/>
                <w:szCs w:val="18"/>
              </w:rPr>
              <w:t>X</w:t>
            </w: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B67985" w:rsidP="002C580E">
            <w:pPr>
              <w:spacing w:after="120"/>
              <w:contextualSpacing/>
              <w:jc w:val="center"/>
              <w:rPr>
                <w:b/>
                <w:sz w:val="18"/>
                <w:szCs w:val="18"/>
              </w:rPr>
            </w:pPr>
            <w:r>
              <w:rPr>
                <w:b/>
                <w:sz w:val="18"/>
                <w:szCs w:val="18"/>
              </w:rPr>
              <w:t>X</w:t>
            </w: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B67985" w:rsidP="0052085C">
            <w:pPr>
              <w:spacing w:after="120"/>
              <w:contextualSpacing/>
              <w:jc w:val="center"/>
              <w:rPr>
                <w:b/>
                <w:sz w:val="18"/>
                <w:szCs w:val="18"/>
              </w:rPr>
            </w:pPr>
            <w:r>
              <w:rPr>
                <w:b/>
                <w:sz w:val="18"/>
                <w:szCs w:val="18"/>
              </w:rPr>
              <w:t>X</w:t>
            </w: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B67985" w:rsidP="0052085C">
            <w:pPr>
              <w:spacing w:after="120"/>
              <w:contextualSpacing/>
              <w:jc w:val="center"/>
              <w:rPr>
                <w:b/>
                <w:sz w:val="18"/>
                <w:szCs w:val="18"/>
              </w:rPr>
            </w:pPr>
            <w:r>
              <w:rPr>
                <w:b/>
                <w:sz w:val="18"/>
                <w:szCs w:val="18"/>
              </w:rPr>
              <w:t>X</w:t>
            </w: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Approval</w:t>
            </w: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4D162B" w:rsidRDefault="004D162B" w:rsidP="00D97A11">
            <w:pPr>
              <w:pStyle w:val="ListParagraph"/>
              <w:numPr>
                <w:ilvl w:val="0"/>
                <w:numId w:val="10"/>
              </w:numPr>
              <w:rPr>
                <w:rFonts w:asciiTheme="minorHAnsi" w:hAnsiTheme="minorHAnsi"/>
                <w:sz w:val="20"/>
                <w:szCs w:val="20"/>
              </w:rPr>
            </w:pPr>
            <w:r>
              <w:rPr>
                <w:rFonts w:asciiTheme="minorHAnsi" w:hAnsiTheme="minorHAnsi"/>
                <w:sz w:val="20"/>
                <w:szCs w:val="20"/>
              </w:rPr>
              <w:t>1</w:t>
            </w:r>
            <w:r w:rsidR="00D97A11">
              <w:rPr>
                <w:rFonts w:asciiTheme="minorHAnsi" w:hAnsiTheme="minorHAnsi"/>
                <w:sz w:val="20"/>
                <w:szCs w:val="20"/>
              </w:rPr>
              <w:t>1</w:t>
            </w:r>
            <w:r>
              <w:rPr>
                <w:rFonts w:asciiTheme="minorHAnsi" w:hAnsiTheme="minorHAnsi"/>
                <w:sz w:val="20"/>
                <w:szCs w:val="20"/>
              </w:rPr>
              <w:t>/2</w:t>
            </w:r>
            <w:r w:rsidR="00D97A11">
              <w:rPr>
                <w:rFonts w:asciiTheme="minorHAnsi" w:hAnsiTheme="minorHAnsi"/>
                <w:sz w:val="20"/>
                <w:szCs w:val="20"/>
              </w:rPr>
              <w:t>8</w:t>
            </w:r>
            <w:r>
              <w:rPr>
                <w:rFonts w:asciiTheme="minorHAnsi" w:hAnsiTheme="minorHAnsi"/>
                <w:sz w:val="20"/>
                <w:szCs w:val="20"/>
              </w:rPr>
              <w:t>/2018 Meeting Minutes A</w:t>
            </w:r>
            <w:r w:rsidRPr="00CA45EB">
              <w:rPr>
                <w:rFonts w:asciiTheme="minorHAnsi" w:hAnsiTheme="minorHAnsi"/>
                <w:sz w:val="20"/>
                <w:szCs w:val="20"/>
              </w:rPr>
              <w:t>pproval</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430BE8" w:rsidRPr="00CA45EB" w:rsidTr="006567E4">
        <w:trPr>
          <w:trHeight w:val="144"/>
        </w:trPr>
        <w:tc>
          <w:tcPr>
            <w:tcW w:w="712" w:type="pct"/>
            <w:vAlign w:val="center"/>
          </w:tcPr>
          <w:p w:rsidR="00430BE8" w:rsidRPr="00CA45EB" w:rsidRDefault="00430BE8" w:rsidP="00E12FDC">
            <w:pPr>
              <w:spacing w:after="0"/>
              <w:jc w:val="center"/>
              <w:rPr>
                <w:sz w:val="20"/>
                <w:szCs w:val="20"/>
              </w:rPr>
            </w:pPr>
          </w:p>
        </w:tc>
        <w:tc>
          <w:tcPr>
            <w:tcW w:w="3378" w:type="pct"/>
            <w:tcBorders>
              <w:top w:val="single" w:sz="4" w:space="0" w:color="auto"/>
              <w:bottom w:val="single" w:sz="4" w:space="0" w:color="auto"/>
            </w:tcBorders>
          </w:tcPr>
          <w:p w:rsidR="00C903EF" w:rsidRDefault="00C903EF" w:rsidP="00D97A11">
            <w:pPr>
              <w:pStyle w:val="ListParagraph"/>
              <w:numPr>
                <w:ilvl w:val="0"/>
                <w:numId w:val="10"/>
              </w:numPr>
              <w:rPr>
                <w:rFonts w:asciiTheme="minorHAnsi" w:hAnsiTheme="minorHAnsi"/>
                <w:sz w:val="20"/>
                <w:szCs w:val="20"/>
              </w:rPr>
            </w:pPr>
            <w:r>
              <w:rPr>
                <w:rFonts w:asciiTheme="minorHAnsi" w:hAnsiTheme="minorHAnsi"/>
                <w:sz w:val="20"/>
                <w:szCs w:val="20"/>
              </w:rPr>
              <w:t>Research Agenda</w:t>
            </w:r>
          </w:p>
          <w:p w:rsidR="001A4ED3" w:rsidRPr="001A4ED3" w:rsidRDefault="001A4ED3" w:rsidP="001A4ED3">
            <w:pPr>
              <w:pStyle w:val="ListParagraph"/>
              <w:numPr>
                <w:ilvl w:val="1"/>
                <w:numId w:val="10"/>
              </w:numPr>
              <w:rPr>
                <w:rFonts w:asciiTheme="minorHAnsi" w:hAnsiTheme="minorHAnsi"/>
                <w:sz w:val="20"/>
                <w:szCs w:val="20"/>
              </w:rPr>
            </w:pPr>
            <w:r w:rsidRPr="001A4ED3">
              <w:rPr>
                <w:rFonts w:asciiTheme="minorHAnsi" w:hAnsiTheme="minorHAnsi"/>
                <w:sz w:val="20"/>
                <w:szCs w:val="20"/>
              </w:rPr>
              <w:t xml:space="preserve">Oleg </w:t>
            </w:r>
            <w:proofErr w:type="spellStart"/>
            <w:r w:rsidRPr="001A4ED3">
              <w:rPr>
                <w:rFonts w:asciiTheme="minorHAnsi" w:hAnsiTheme="minorHAnsi"/>
                <w:sz w:val="20"/>
                <w:szCs w:val="20"/>
              </w:rPr>
              <w:t>Bespalov</w:t>
            </w:r>
            <w:proofErr w:type="spellEnd"/>
            <w:r>
              <w:rPr>
                <w:rFonts w:asciiTheme="minorHAnsi" w:hAnsiTheme="minorHAnsi"/>
                <w:sz w:val="20"/>
                <w:szCs w:val="20"/>
              </w:rPr>
              <w:t xml:space="preserve"> presented information from the </w:t>
            </w:r>
            <w:r w:rsidRPr="001A4ED3">
              <w:rPr>
                <w:rFonts w:asciiTheme="minorHAnsi" w:hAnsiTheme="minorHAnsi"/>
                <w:sz w:val="20"/>
                <w:szCs w:val="20"/>
              </w:rPr>
              <w:t>Office of Institutional Effectiveness, Grants and Planning Annual Research Agenda 2018-2019</w:t>
            </w:r>
          </w:p>
          <w:p w:rsidR="00E34855" w:rsidRDefault="00C903EF" w:rsidP="00C903EF">
            <w:pPr>
              <w:pStyle w:val="ListParagraph"/>
              <w:numPr>
                <w:ilvl w:val="0"/>
                <w:numId w:val="10"/>
              </w:numPr>
              <w:rPr>
                <w:rFonts w:asciiTheme="minorHAnsi" w:hAnsiTheme="minorHAnsi"/>
                <w:sz w:val="20"/>
                <w:szCs w:val="20"/>
              </w:rPr>
            </w:pPr>
            <w:r>
              <w:rPr>
                <w:rFonts w:asciiTheme="minorHAnsi" w:hAnsiTheme="minorHAnsi"/>
                <w:sz w:val="20"/>
                <w:szCs w:val="20"/>
              </w:rPr>
              <w:t>SEA Funding Request Rubric and Survey</w:t>
            </w:r>
          </w:p>
          <w:p w:rsidR="001A4ED3" w:rsidRDefault="001A4ED3" w:rsidP="001A4ED3">
            <w:pPr>
              <w:pStyle w:val="ListParagraph"/>
              <w:numPr>
                <w:ilvl w:val="1"/>
                <w:numId w:val="10"/>
              </w:numPr>
              <w:rPr>
                <w:rFonts w:asciiTheme="minorHAnsi" w:hAnsiTheme="minorHAnsi"/>
                <w:sz w:val="20"/>
                <w:szCs w:val="20"/>
              </w:rPr>
            </w:pPr>
            <w:r w:rsidRPr="001A4ED3">
              <w:rPr>
                <w:rFonts w:asciiTheme="minorHAnsi" w:hAnsiTheme="minorHAnsi"/>
                <w:sz w:val="20"/>
                <w:szCs w:val="20"/>
              </w:rPr>
              <w:t xml:space="preserve">Committee approved a Funding Request Rubric which will be used to rate proposals for SEA available funding.  </w:t>
            </w:r>
          </w:p>
          <w:p w:rsidR="001A4ED3" w:rsidRDefault="001A4ED3" w:rsidP="001A4ED3">
            <w:pPr>
              <w:pStyle w:val="ListParagraph"/>
              <w:numPr>
                <w:ilvl w:val="1"/>
                <w:numId w:val="10"/>
              </w:numPr>
              <w:rPr>
                <w:rFonts w:asciiTheme="minorHAnsi" w:hAnsiTheme="minorHAnsi"/>
                <w:sz w:val="20"/>
                <w:szCs w:val="20"/>
              </w:rPr>
            </w:pPr>
            <w:r w:rsidRPr="001A4ED3">
              <w:rPr>
                <w:rFonts w:asciiTheme="minorHAnsi" w:hAnsiTheme="minorHAnsi"/>
                <w:sz w:val="20"/>
                <w:szCs w:val="20"/>
              </w:rPr>
              <w:t xml:space="preserve">Three requests were received in Fall 2018 and a survey incorporating the rubric will be sent to the committee for ranking. </w:t>
            </w:r>
          </w:p>
          <w:p w:rsidR="001A4ED3" w:rsidRPr="001A4ED3" w:rsidRDefault="001A4ED3" w:rsidP="001A4ED3">
            <w:pPr>
              <w:pStyle w:val="ListParagraph"/>
              <w:numPr>
                <w:ilvl w:val="1"/>
                <w:numId w:val="10"/>
              </w:numPr>
              <w:rPr>
                <w:rFonts w:asciiTheme="minorHAnsi" w:hAnsiTheme="minorHAnsi"/>
                <w:sz w:val="20"/>
                <w:szCs w:val="20"/>
              </w:rPr>
            </w:pPr>
            <w:r w:rsidRPr="001A4ED3">
              <w:rPr>
                <w:rFonts w:asciiTheme="minorHAnsi" w:hAnsiTheme="minorHAnsi"/>
                <w:sz w:val="20"/>
                <w:szCs w:val="20"/>
              </w:rPr>
              <w:t>Final scores will be shared at the 2/27 meeting.</w:t>
            </w:r>
          </w:p>
        </w:tc>
        <w:tc>
          <w:tcPr>
            <w:tcW w:w="910" w:type="pct"/>
            <w:tcBorders>
              <w:top w:val="single" w:sz="4" w:space="0" w:color="auto"/>
            </w:tcBorders>
          </w:tcPr>
          <w:p w:rsidR="00430BE8" w:rsidRPr="00CA45EB" w:rsidRDefault="00430BE8" w:rsidP="00430BE8">
            <w:pPr>
              <w:spacing w:after="0" w:line="240" w:lineRule="auto"/>
              <w:contextualSpacing/>
              <w:rPr>
                <w:sz w:val="20"/>
                <w:szCs w:val="20"/>
              </w:rPr>
            </w:pPr>
          </w:p>
        </w:tc>
      </w:tr>
      <w:tr w:rsidR="00D97A11" w:rsidRPr="00CA45EB" w:rsidTr="006567E4">
        <w:trPr>
          <w:trHeight w:val="144"/>
        </w:trPr>
        <w:tc>
          <w:tcPr>
            <w:tcW w:w="712" w:type="pct"/>
            <w:vMerge w:val="restart"/>
            <w:vAlign w:val="center"/>
          </w:tcPr>
          <w:p w:rsidR="00D97A11" w:rsidRDefault="00D97A11" w:rsidP="009667E8">
            <w:pPr>
              <w:spacing w:after="0"/>
              <w:jc w:val="center"/>
              <w:rPr>
                <w:sz w:val="20"/>
                <w:szCs w:val="20"/>
              </w:rPr>
            </w:pPr>
          </w:p>
        </w:tc>
        <w:tc>
          <w:tcPr>
            <w:tcW w:w="3378" w:type="pct"/>
            <w:tcBorders>
              <w:top w:val="single" w:sz="4" w:space="0" w:color="auto"/>
              <w:bottom w:val="single" w:sz="4" w:space="0" w:color="auto"/>
            </w:tcBorders>
          </w:tcPr>
          <w:p w:rsidR="001A4ED3" w:rsidRDefault="00D97A11" w:rsidP="001A4ED3">
            <w:pPr>
              <w:pStyle w:val="ListParagraph"/>
              <w:numPr>
                <w:ilvl w:val="0"/>
                <w:numId w:val="10"/>
              </w:numPr>
              <w:rPr>
                <w:rFonts w:asciiTheme="minorHAnsi" w:hAnsiTheme="minorHAnsi"/>
                <w:sz w:val="20"/>
                <w:szCs w:val="20"/>
              </w:rPr>
            </w:pPr>
            <w:r>
              <w:rPr>
                <w:rFonts w:asciiTheme="minorHAnsi" w:hAnsiTheme="minorHAnsi"/>
                <w:sz w:val="20"/>
                <w:szCs w:val="20"/>
              </w:rPr>
              <w:t xml:space="preserve">Equity Plan – Plan for Development and Schedule </w:t>
            </w:r>
          </w:p>
          <w:p w:rsidR="001A4ED3" w:rsidRPr="001A4ED3" w:rsidRDefault="001A4ED3" w:rsidP="001A4ED3">
            <w:pPr>
              <w:pStyle w:val="ListParagraph"/>
              <w:numPr>
                <w:ilvl w:val="1"/>
                <w:numId w:val="10"/>
              </w:numPr>
              <w:rPr>
                <w:rFonts w:asciiTheme="minorHAnsi" w:hAnsiTheme="minorHAnsi" w:cstheme="minorHAnsi"/>
                <w:sz w:val="20"/>
                <w:szCs w:val="20"/>
              </w:rPr>
            </w:pPr>
            <w:r w:rsidRPr="001A4ED3">
              <w:rPr>
                <w:rFonts w:asciiTheme="minorHAnsi" w:hAnsiTheme="minorHAnsi" w:cstheme="minorHAnsi"/>
                <w:sz w:val="20"/>
                <w:szCs w:val="20"/>
              </w:rPr>
              <w:t>Johnny Conley discussed the Equity Plan as it is due to the Chancellor’s Office by 6/30/19.  A workgroup was formed to begin completing the Equity Plan.  Here is a tentative timeline:</w:t>
            </w:r>
          </w:p>
          <w:p w:rsidR="00D97A11" w:rsidRPr="001A4ED3" w:rsidRDefault="00D97A11" w:rsidP="00D97A11">
            <w:pPr>
              <w:pStyle w:val="ListParagraph"/>
              <w:rPr>
                <w:rFonts w:asciiTheme="minorHAnsi" w:hAnsiTheme="minorHAnsi" w:cstheme="minorHAnsi"/>
                <w:sz w:val="20"/>
                <w:szCs w:val="20"/>
              </w:rPr>
            </w:pPr>
            <w:r w:rsidRPr="001A4ED3">
              <w:rPr>
                <w:rFonts w:asciiTheme="minorHAnsi" w:hAnsiTheme="minorHAnsi" w:cstheme="minorHAnsi"/>
                <w:sz w:val="20"/>
                <w:szCs w:val="20"/>
              </w:rPr>
              <w:t>02/27/2019 – SEA Committee Approves Plan (or add a meeting between 02/28/2019 – 04/05/2019)</w:t>
            </w:r>
          </w:p>
          <w:p w:rsidR="00D97A11" w:rsidRPr="001A4ED3" w:rsidRDefault="00D97A11" w:rsidP="00D97A11">
            <w:pPr>
              <w:pStyle w:val="ListParagraph"/>
              <w:rPr>
                <w:rFonts w:asciiTheme="minorHAnsi" w:hAnsiTheme="minorHAnsi" w:cstheme="minorHAnsi"/>
                <w:sz w:val="20"/>
                <w:szCs w:val="20"/>
              </w:rPr>
            </w:pPr>
            <w:r w:rsidRPr="001A4ED3">
              <w:rPr>
                <w:rFonts w:asciiTheme="minorHAnsi" w:hAnsiTheme="minorHAnsi" w:cstheme="minorHAnsi"/>
                <w:sz w:val="20"/>
                <w:szCs w:val="20"/>
              </w:rPr>
              <w:t>04/16/2019 – Academic Senate First Read for Plan</w:t>
            </w:r>
          </w:p>
          <w:p w:rsidR="00D97A11" w:rsidRDefault="00D97A11" w:rsidP="00D97A11">
            <w:pPr>
              <w:pStyle w:val="ListParagraph"/>
              <w:rPr>
                <w:rFonts w:asciiTheme="minorHAnsi" w:hAnsiTheme="minorHAnsi"/>
                <w:sz w:val="20"/>
                <w:szCs w:val="20"/>
              </w:rPr>
            </w:pPr>
            <w:r w:rsidRPr="001A4ED3">
              <w:rPr>
                <w:rFonts w:asciiTheme="minorHAnsi" w:hAnsiTheme="minorHAnsi" w:cstheme="minorHAnsi"/>
                <w:sz w:val="20"/>
                <w:szCs w:val="20"/>
              </w:rPr>
              <w:t>04/30/2019 – Academic Senate Second Read and Vote for</w:t>
            </w:r>
            <w:r>
              <w:rPr>
                <w:rFonts w:asciiTheme="minorHAnsi" w:hAnsiTheme="minorHAnsi"/>
                <w:sz w:val="20"/>
                <w:szCs w:val="20"/>
              </w:rPr>
              <w:t xml:space="preserve"> Plan</w:t>
            </w:r>
          </w:p>
          <w:p w:rsidR="00D97A11" w:rsidRDefault="00D97A11" w:rsidP="00D97A11">
            <w:pPr>
              <w:pStyle w:val="ListParagraph"/>
              <w:rPr>
                <w:rFonts w:asciiTheme="minorHAnsi" w:hAnsiTheme="minorHAnsi"/>
                <w:sz w:val="20"/>
                <w:szCs w:val="20"/>
              </w:rPr>
            </w:pPr>
            <w:r>
              <w:rPr>
                <w:rFonts w:asciiTheme="minorHAnsi" w:hAnsiTheme="minorHAnsi"/>
                <w:sz w:val="20"/>
                <w:szCs w:val="20"/>
              </w:rPr>
              <w:t>05/02/2019 – Chancellor’s Consultation Council Reviews</w:t>
            </w:r>
          </w:p>
          <w:p w:rsidR="00D97A11" w:rsidRDefault="00D97A11" w:rsidP="00D97A11">
            <w:pPr>
              <w:pStyle w:val="ListParagraph"/>
              <w:numPr>
                <w:ilvl w:val="0"/>
                <w:numId w:val="10"/>
              </w:numPr>
              <w:rPr>
                <w:rFonts w:asciiTheme="minorHAnsi" w:hAnsiTheme="minorHAnsi"/>
                <w:sz w:val="20"/>
                <w:szCs w:val="20"/>
              </w:rPr>
            </w:pPr>
            <w:r>
              <w:rPr>
                <w:rFonts w:asciiTheme="minorHAnsi" w:hAnsiTheme="minorHAnsi"/>
                <w:sz w:val="20"/>
                <w:szCs w:val="20"/>
              </w:rPr>
              <w:t>06/30/2019 – Ready to go through the Board of Trustees</w:t>
            </w:r>
          </w:p>
        </w:tc>
        <w:tc>
          <w:tcPr>
            <w:tcW w:w="910" w:type="pct"/>
            <w:tcBorders>
              <w:top w:val="single" w:sz="4" w:space="0" w:color="auto"/>
            </w:tcBorders>
          </w:tcPr>
          <w:p w:rsidR="00D97A11" w:rsidRPr="00CA45EB" w:rsidRDefault="00D97A11" w:rsidP="00430BE8">
            <w:pPr>
              <w:spacing w:after="0" w:line="240" w:lineRule="auto"/>
              <w:contextualSpacing/>
              <w:rPr>
                <w:sz w:val="20"/>
                <w:szCs w:val="20"/>
              </w:rPr>
            </w:pPr>
          </w:p>
        </w:tc>
      </w:tr>
      <w:tr w:rsidR="00D97A11" w:rsidRPr="00CA45EB" w:rsidTr="00695B1A">
        <w:trPr>
          <w:trHeight w:val="20"/>
        </w:trPr>
        <w:tc>
          <w:tcPr>
            <w:tcW w:w="712" w:type="pct"/>
            <w:vMerge/>
            <w:vAlign w:val="center"/>
          </w:tcPr>
          <w:p w:rsidR="00D97A11" w:rsidRPr="00CA45EB" w:rsidRDefault="00D97A11" w:rsidP="009667E8">
            <w:pPr>
              <w:spacing w:after="0"/>
              <w:jc w:val="center"/>
              <w:rPr>
                <w:sz w:val="20"/>
                <w:szCs w:val="20"/>
              </w:rPr>
            </w:pPr>
          </w:p>
        </w:tc>
        <w:tc>
          <w:tcPr>
            <w:tcW w:w="3378" w:type="pct"/>
            <w:tcBorders>
              <w:top w:val="single" w:sz="4" w:space="0" w:color="auto"/>
              <w:bottom w:val="single" w:sz="4" w:space="0" w:color="auto"/>
              <w:right w:val="single" w:sz="4" w:space="0" w:color="auto"/>
            </w:tcBorders>
          </w:tcPr>
          <w:p w:rsidR="00D97A11" w:rsidRDefault="00D97A11" w:rsidP="00A26404">
            <w:pPr>
              <w:pStyle w:val="ListParagraph"/>
              <w:numPr>
                <w:ilvl w:val="0"/>
                <w:numId w:val="9"/>
              </w:numPr>
              <w:rPr>
                <w:rFonts w:asciiTheme="minorHAnsi" w:hAnsiTheme="minorHAnsi"/>
                <w:sz w:val="20"/>
                <w:szCs w:val="20"/>
              </w:rPr>
            </w:pPr>
            <w:r>
              <w:rPr>
                <w:rFonts w:asciiTheme="minorHAnsi" w:hAnsiTheme="minorHAnsi"/>
                <w:sz w:val="20"/>
                <w:szCs w:val="20"/>
              </w:rPr>
              <w:t xml:space="preserve">Guided Pathways Update </w:t>
            </w:r>
          </w:p>
          <w:p w:rsidR="001A4ED3" w:rsidRDefault="001A4ED3" w:rsidP="001A4ED3">
            <w:pPr>
              <w:pStyle w:val="ListParagraph"/>
              <w:numPr>
                <w:ilvl w:val="1"/>
                <w:numId w:val="9"/>
              </w:numPr>
              <w:rPr>
                <w:rFonts w:asciiTheme="minorHAnsi" w:hAnsiTheme="minorHAnsi"/>
                <w:sz w:val="20"/>
                <w:szCs w:val="20"/>
              </w:rPr>
            </w:pPr>
            <w:r w:rsidRPr="001A4ED3">
              <w:rPr>
                <w:rFonts w:asciiTheme="minorHAnsi" w:hAnsiTheme="minorHAnsi"/>
                <w:sz w:val="20"/>
                <w:szCs w:val="20"/>
              </w:rPr>
              <w:t xml:space="preserve">Nenagh presented a Guided Pathways Update including a </w:t>
            </w:r>
            <w:proofErr w:type="spellStart"/>
            <w:r w:rsidRPr="001A4ED3">
              <w:rPr>
                <w:rFonts w:asciiTheme="minorHAnsi" w:hAnsiTheme="minorHAnsi"/>
                <w:sz w:val="20"/>
                <w:szCs w:val="20"/>
              </w:rPr>
              <w:t>powerpoint</w:t>
            </w:r>
            <w:proofErr w:type="spellEnd"/>
            <w:r w:rsidRPr="001A4ED3">
              <w:rPr>
                <w:rFonts w:asciiTheme="minorHAnsi" w:hAnsiTheme="minorHAnsi"/>
                <w:sz w:val="20"/>
                <w:szCs w:val="20"/>
              </w:rPr>
              <w:t xml:space="preserve"> created by Beth Miller on Mapping.</w:t>
            </w:r>
          </w:p>
          <w:p w:rsidR="001A4ED3" w:rsidRPr="001A4ED3" w:rsidRDefault="001A4ED3" w:rsidP="001A4ED3">
            <w:pPr>
              <w:pStyle w:val="ListParagraph"/>
              <w:numPr>
                <w:ilvl w:val="1"/>
                <w:numId w:val="9"/>
              </w:numPr>
              <w:rPr>
                <w:rFonts w:asciiTheme="minorHAnsi" w:hAnsiTheme="minorHAnsi"/>
                <w:sz w:val="20"/>
                <w:szCs w:val="20"/>
              </w:rPr>
            </w:pPr>
            <w:r w:rsidRPr="001A4ED3">
              <w:rPr>
                <w:rFonts w:asciiTheme="minorHAnsi" w:hAnsiTheme="minorHAnsi"/>
                <w:sz w:val="20"/>
                <w:szCs w:val="20"/>
              </w:rPr>
              <w:t>Ashley Lajoie will present on Meta-majors at the 2/27 meeting.</w:t>
            </w:r>
          </w:p>
        </w:tc>
        <w:tc>
          <w:tcPr>
            <w:tcW w:w="910" w:type="pct"/>
            <w:tcBorders>
              <w:top w:val="single" w:sz="4" w:space="0" w:color="auto"/>
              <w:left w:val="single" w:sz="4" w:space="0" w:color="auto"/>
              <w:bottom w:val="single" w:sz="4" w:space="0" w:color="auto"/>
            </w:tcBorders>
          </w:tcPr>
          <w:p w:rsidR="00D97A11" w:rsidRPr="00CA45EB" w:rsidRDefault="00D97A11" w:rsidP="00430BE8">
            <w:pPr>
              <w:spacing w:after="0" w:line="240" w:lineRule="auto"/>
              <w:contextualSpacing/>
              <w:rPr>
                <w:sz w:val="20"/>
                <w:szCs w:val="20"/>
              </w:rPr>
            </w:pPr>
          </w:p>
        </w:tc>
      </w:tr>
      <w:tr w:rsidR="00D97A11" w:rsidRPr="00CA45EB" w:rsidTr="00695B1A">
        <w:trPr>
          <w:trHeight w:val="20"/>
        </w:trPr>
        <w:tc>
          <w:tcPr>
            <w:tcW w:w="712" w:type="pct"/>
            <w:vMerge/>
            <w:vAlign w:val="center"/>
          </w:tcPr>
          <w:p w:rsidR="00D97A11" w:rsidRPr="00CA45EB" w:rsidRDefault="00D97A11" w:rsidP="009667E8">
            <w:pPr>
              <w:spacing w:after="0"/>
              <w:jc w:val="center"/>
              <w:rPr>
                <w:sz w:val="20"/>
                <w:szCs w:val="20"/>
              </w:rPr>
            </w:pPr>
          </w:p>
        </w:tc>
        <w:tc>
          <w:tcPr>
            <w:tcW w:w="3378" w:type="pct"/>
            <w:tcBorders>
              <w:top w:val="single" w:sz="4" w:space="0" w:color="auto"/>
              <w:bottom w:val="single" w:sz="4" w:space="0" w:color="auto"/>
              <w:right w:val="single" w:sz="4" w:space="0" w:color="auto"/>
            </w:tcBorders>
          </w:tcPr>
          <w:p w:rsidR="00D97A11" w:rsidRPr="001A4ED3" w:rsidRDefault="00D97A11" w:rsidP="00D97A11">
            <w:pPr>
              <w:pStyle w:val="ListParagraph"/>
              <w:numPr>
                <w:ilvl w:val="0"/>
                <w:numId w:val="9"/>
              </w:numPr>
              <w:rPr>
                <w:rFonts w:asciiTheme="minorHAnsi" w:hAnsiTheme="minorHAnsi"/>
                <w:sz w:val="20"/>
                <w:szCs w:val="20"/>
              </w:rPr>
            </w:pPr>
            <w:r>
              <w:rPr>
                <w:rFonts w:asciiTheme="minorHAnsi" w:hAnsiTheme="minorHAnsi"/>
                <w:sz w:val="20"/>
              </w:rPr>
              <w:t>0</w:t>
            </w:r>
            <w:r w:rsidRPr="00430BE8">
              <w:rPr>
                <w:rFonts w:asciiTheme="minorHAnsi" w:hAnsiTheme="minorHAnsi"/>
                <w:sz w:val="20"/>
              </w:rPr>
              <w:t>1/1</w:t>
            </w:r>
            <w:r>
              <w:rPr>
                <w:rFonts w:asciiTheme="minorHAnsi" w:hAnsiTheme="minorHAnsi"/>
                <w:sz w:val="20"/>
              </w:rPr>
              <w:t>4</w:t>
            </w:r>
            <w:r w:rsidRPr="00430BE8">
              <w:rPr>
                <w:rFonts w:asciiTheme="minorHAnsi" w:hAnsiTheme="minorHAnsi"/>
                <w:sz w:val="20"/>
              </w:rPr>
              <w:t>/201</w:t>
            </w:r>
            <w:r>
              <w:rPr>
                <w:rFonts w:asciiTheme="minorHAnsi" w:hAnsiTheme="minorHAnsi"/>
                <w:sz w:val="20"/>
              </w:rPr>
              <w:t>9</w:t>
            </w:r>
            <w:r w:rsidRPr="00430BE8">
              <w:rPr>
                <w:rFonts w:asciiTheme="minorHAnsi" w:hAnsiTheme="minorHAnsi"/>
                <w:sz w:val="20"/>
              </w:rPr>
              <w:t xml:space="preserve"> – Updated Progress for SEA Goals</w:t>
            </w:r>
          </w:p>
          <w:p w:rsidR="001A4ED3" w:rsidRPr="00C903EF" w:rsidRDefault="001A4ED3" w:rsidP="001A4ED3">
            <w:pPr>
              <w:pStyle w:val="ListParagraph"/>
              <w:numPr>
                <w:ilvl w:val="1"/>
                <w:numId w:val="9"/>
              </w:numPr>
              <w:rPr>
                <w:rFonts w:asciiTheme="minorHAnsi" w:hAnsiTheme="minorHAnsi"/>
                <w:sz w:val="20"/>
                <w:szCs w:val="20"/>
              </w:rPr>
            </w:pPr>
            <w:r>
              <w:rPr>
                <w:rFonts w:asciiTheme="minorHAnsi" w:hAnsiTheme="minorHAnsi"/>
                <w:sz w:val="20"/>
                <w:szCs w:val="20"/>
              </w:rPr>
              <w:t>Committee reviewed chart of updated progress for SEA goals</w:t>
            </w:r>
          </w:p>
          <w:p w:rsidR="00C903EF" w:rsidRDefault="00C903EF" w:rsidP="00D97A11">
            <w:pPr>
              <w:pStyle w:val="ListParagraph"/>
              <w:numPr>
                <w:ilvl w:val="0"/>
                <w:numId w:val="9"/>
              </w:numPr>
              <w:rPr>
                <w:rFonts w:asciiTheme="minorHAnsi" w:hAnsiTheme="minorHAnsi"/>
                <w:sz w:val="20"/>
                <w:szCs w:val="20"/>
              </w:rPr>
            </w:pPr>
            <w:r>
              <w:rPr>
                <w:rFonts w:asciiTheme="minorHAnsi" w:hAnsiTheme="minorHAnsi"/>
                <w:sz w:val="20"/>
                <w:szCs w:val="20"/>
              </w:rPr>
              <w:t>Call for Presentations to SEA Committee</w:t>
            </w:r>
          </w:p>
          <w:p w:rsidR="001A4ED3" w:rsidRPr="00430BE8" w:rsidRDefault="001A4ED3" w:rsidP="001A4ED3">
            <w:pPr>
              <w:pStyle w:val="ListParagraph"/>
              <w:numPr>
                <w:ilvl w:val="1"/>
                <w:numId w:val="9"/>
              </w:numPr>
              <w:rPr>
                <w:rFonts w:asciiTheme="minorHAnsi" w:hAnsiTheme="minorHAnsi"/>
                <w:sz w:val="20"/>
                <w:szCs w:val="20"/>
              </w:rPr>
            </w:pPr>
            <w:r>
              <w:rPr>
                <w:rFonts w:asciiTheme="minorHAnsi" w:hAnsiTheme="minorHAnsi"/>
                <w:sz w:val="20"/>
                <w:szCs w:val="20"/>
              </w:rPr>
              <w:t>Recommendations for SEA presentations w</w:t>
            </w:r>
            <w:r w:rsidR="0031083E">
              <w:rPr>
                <w:rFonts w:asciiTheme="minorHAnsi" w:hAnsiTheme="minorHAnsi"/>
                <w:sz w:val="20"/>
                <w:szCs w:val="20"/>
              </w:rPr>
              <w:t>ere</w:t>
            </w:r>
            <w:r>
              <w:rPr>
                <w:rFonts w:asciiTheme="minorHAnsi" w:hAnsiTheme="minorHAnsi"/>
                <w:sz w:val="20"/>
                <w:szCs w:val="20"/>
              </w:rPr>
              <w:t xml:space="preserve"> requested from the committee</w:t>
            </w:r>
          </w:p>
        </w:tc>
        <w:tc>
          <w:tcPr>
            <w:tcW w:w="910" w:type="pct"/>
            <w:tcBorders>
              <w:top w:val="single" w:sz="4" w:space="0" w:color="auto"/>
              <w:left w:val="single" w:sz="4" w:space="0" w:color="auto"/>
            </w:tcBorders>
          </w:tcPr>
          <w:p w:rsidR="00D97A11" w:rsidRPr="00CA45EB" w:rsidRDefault="00D97A11" w:rsidP="00430BE8">
            <w:pPr>
              <w:spacing w:after="0" w:line="240" w:lineRule="auto"/>
              <w:contextualSpacing/>
              <w:rPr>
                <w:sz w:val="20"/>
                <w:szCs w:val="20"/>
              </w:rPr>
            </w:pPr>
          </w:p>
        </w:tc>
      </w:tr>
      <w:tr w:rsidR="009667E8" w:rsidRPr="00CA45EB" w:rsidTr="00CA0314">
        <w:trPr>
          <w:trHeight w:val="395"/>
        </w:trPr>
        <w:tc>
          <w:tcPr>
            <w:tcW w:w="712" w:type="pct"/>
            <w:vAlign w:val="center"/>
          </w:tcPr>
          <w:p w:rsidR="009667E8" w:rsidRPr="00CA45EB" w:rsidRDefault="009667E8" w:rsidP="009667E8">
            <w:pPr>
              <w:spacing w:after="0"/>
              <w:jc w:val="center"/>
              <w:rPr>
                <w:sz w:val="20"/>
                <w:szCs w:val="20"/>
              </w:rPr>
            </w:pPr>
            <w:r w:rsidRPr="00CA45EB">
              <w:rPr>
                <w:sz w:val="20"/>
                <w:szCs w:val="20"/>
              </w:rPr>
              <w:t>Anything else for the good of the cause?</w:t>
            </w:r>
          </w:p>
        </w:tc>
        <w:tc>
          <w:tcPr>
            <w:tcW w:w="3378" w:type="pct"/>
          </w:tcPr>
          <w:p w:rsidR="009667E8" w:rsidRPr="00AD5E5B" w:rsidRDefault="009667E8" w:rsidP="009667E8">
            <w:pPr>
              <w:rPr>
                <w:sz w:val="20"/>
                <w:szCs w:val="20"/>
              </w:rPr>
            </w:pPr>
          </w:p>
        </w:tc>
        <w:tc>
          <w:tcPr>
            <w:tcW w:w="910" w:type="pct"/>
          </w:tcPr>
          <w:p w:rsidR="009667E8" w:rsidRPr="00CA45EB" w:rsidRDefault="009667E8" w:rsidP="00430BE8">
            <w:pPr>
              <w:spacing w:after="0"/>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tbl>
      <w:tblPr>
        <w:tblStyle w:val="TableGrid"/>
        <w:tblW w:w="0" w:type="auto"/>
        <w:tblLook w:val="04A0" w:firstRow="1" w:lastRow="0" w:firstColumn="1" w:lastColumn="0" w:noHBand="0" w:noVBand="1"/>
      </w:tblPr>
      <w:tblGrid>
        <w:gridCol w:w="4796"/>
        <w:gridCol w:w="4797"/>
        <w:gridCol w:w="4797"/>
      </w:tblGrid>
      <w:tr w:rsidR="00EE3F9F" w:rsidTr="00EE3F9F">
        <w:trPr>
          <w:trHeight w:val="144"/>
        </w:trPr>
        <w:tc>
          <w:tcPr>
            <w:tcW w:w="14390" w:type="dxa"/>
            <w:gridSpan w:val="3"/>
            <w:shd w:val="clear" w:color="auto" w:fill="B8CCE4" w:themeFill="accent1" w:themeFillTint="66"/>
            <w:vAlign w:val="center"/>
          </w:tcPr>
          <w:p w:rsidR="00EE3F9F" w:rsidRPr="00EE3F9F" w:rsidRDefault="00EE3F9F" w:rsidP="00EE3F9F">
            <w:pPr>
              <w:jc w:val="center"/>
              <w:rPr>
                <w:sz w:val="24"/>
              </w:rPr>
            </w:pPr>
            <w:r w:rsidRPr="00EE3F9F">
              <w:rPr>
                <w:b/>
                <w:sz w:val="24"/>
                <w:u w:val="single"/>
              </w:rPr>
              <w:t>Meeting Attachments</w:t>
            </w:r>
          </w:p>
        </w:tc>
      </w:tr>
      <w:tr w:rsidR="00855DEB" w:rsidTr="00855DEB">
        <w:trPr>
          <w:trHeight w:val="144"/>
        </w:trPr>
        <w:tc>
          <w:tcPr>
            <w:tcW w:w="4796" w:type="dxa"/>
          </w:tcPr>
          <w:p w:rsidR="00855DEB" w:rsidRPr="00EE3F9F" w:rsidRDefault="00855DEB" w:rsidP="00D97A11">
            <w:pPr>
              <w:rPr>
                <w:sz w:val="20"/>
              </w:rPr>
            </w:pPr>
            <w:r w:rsidRPr="00EE3F9F">
              <w:rPr>
                <w:sz w:val="20"/>
              </w:rPr>
              <w:t xml:space="preserve">Agenda – </w:t>
            </w:r>
            <w:r w:rsidR="00D97A11">
              <w:rPr>
                <w:sz w:val="20"/>
              </w:rPr>
              <w:t>0</w:t>
            </w:r>
            <w:r w:rsidR="00B17B86">
              <w:rPr>
                <w:sz w:val="20"/>
              </w:rPr>
              <w:t>1</w:t>
            </w:r>
            <w:r w:rsidRPr="00EE3F9F">
              <w:rPr>
                <w:sz w:val="20"/>
              </w:rPr>
              <w:t>/2</w:t>
            </w:r>
            <w:r w:rsidR="00D97A11">
              <w:rPr>
                <w:sz w:val="20"/>
              </w:rPr>
              <w:t>3</w:t>
            </w:r>
            <w:r w:rsidRPr="00EE3F9F">
              <w:rPr>
                <w:sz w:val="20"/>
              </w:rPr>
              <w:t>/201</w:t>
            </w:r>
            <w:r w:rsidR="00D97A11">
              <w:rPr>
                <w:sz w:val="20"/>
              </w:rPr>
              <w:t>9</w:t>
            </w:r>
          </w:p>
        </w:tc>
        <w:tc>
          <w:tcPr>
            <w:tcW w:w="4797" w:type="dxa"/>
          </w:tcPr>
          <w:p w:rsidR="00855DEB" w:rsidRPr="00EE3F9F" w:rsidRDefault="00A84321" w:rsidP="00D97A11">
            <w:pPr>
              <w:rPr>
                <w:sz w:val="20"/>
              </w:rPr>
            </w:pPr>
            <w:r>
              <w:rPr>
                <w:sz w:val="20"/>
              </w:rPr>
              <w:t xml:space="preserve">Minutes – </w:t>
            </w:r>
            <w:r w:rsidR="00B17B86">
              <w:rPr>
                <w:sz w:val="20"/>
              </w:rPr>
              <w:t>1</w:t>
            </w:r>
            <w:r w:rsidR="00D97A11">
              <w:rPr>
                <w:sz w:val="20"/>
              </w:rPr>
              <w:t>1</w:t>
            </w:r>
            <w:r w:rsidRPr="00EE3F9F">
              <w:rPr>
                <w:sz w:val="20"/>
              </w:rPr>
              <w:t>/2</w:t>
            </w:r>
            <w:r w:rsidR="00D97A11">
              <w:rPr>
                <w:sz w:val="20"/>
              </w:rPr>
              <w:t>8</w:t>
            </w:r>
            <w:r w:rsidRPr="00EE3F9F">
              <w:rPr>
                <w:sz w:val="20"/>
              </w:rPr>
              <w:t>/2018 (DRAFT)</w:t>
            </w:r>
          </w:p>
        </w:tc>
        <w:tc>
          <w:tcPr>
            <w:tcW w:w="4797" w:type="dxa"/>
          </w:tcPr>
          <w:p w:rsidR="00855DEB" w:rsidRPr="00EE3F9F" w:rsidRDefault="00D97A11" w:rsidP="00D97A11">
            <w:pPr>
              <w:rPr>
                <w:sz w:val="20"/>
              </w:rPr>
            </w:pPr>
            <w:r>
              <w:rPr>
                <w:sz w:val="20"/>
              </w:rPr>
              <w:t>0</w:t>
            </w:r>
            <w:r w:rsidR="00C678FC">
              <w:rPr>
                <w:sz w:val="20"/>
              </w:rPr>
              <w:t>1/1</w:t>
            </w:r>
            <w:r>
              <w:rPr>
                <w:sz w:val="20"/>
              </w:rPr>
              <w:t>4</w:t>
            </w:r>
            <w:r w:rsidR="00C678FC">
              <w:rPr>
                <w:sz w:val="20"/>
              </w:rPr>
              <w:t>/201</w:t>
            </w:r>
            <w:r>
              <w:rPr>
                <w:sz w:val="20"/>
              </w:rPr>
              <w:t>9</w:t>
            </w:r>
            <w:r w:rsidR="00C678FC">
              <w:rPr>
                <w:sz w:val="20"/>
              </w:rPr>
              <w:t xml:space="preserve"> – Updated Progress for SEA Goals</w:t>
            </w:r>
          </w:p>
        </w:tc>
      </w:tr>
      <w:tr w:rsidR="00CA4990" w:rsidTr="00855DEB">
        <w:trPr>
          <w:trHeight w:val="144"/>
        </w:trPr>
        <w:tc>
          <w:tcPr>
            <w:tcW w:w="4796" w:type="dxa"/>
          </w:tcPr>
          <w:p w:rsidR="00CA4990" w:rsidRPr="00EE3F9F" w:rsidRDefault="00D97A11" w:rsidP="00D97A11">
            <w:pPr>
              <w:rPr>
                <w:sz w:val="20"/>
              </w:rPr>
            </w:pPr>
            <w:r>
              <w:rPr>
                <w:sz w:val="20"/>
              </w:rPr>
              <w:t>Minutes – 10</w:t>
            </w:r>
            <w:r w:rsidRPr="00EE3F9F">
              <w:rPr>
                <w:sz w:val="20"/>
              </w:rPr>
              <w:t>/2</w:t>
            </w:r>
            <w:r>
              <w:rPr>
                <w:sz w:val="20"/>
              </w:rPr>
              <w:t>4</w:t>
            </w:r>
            <w:r w:rsidRPr="00EE3F9F">
              <w:rPr>
                <w:sz w:val="20"/>
              </w:rPr>
              <w:t>/2018 (</w:t>
            </w:r>
            <w:r>
              <w:rPr>
                <w:sz w:val="20"/>
              </w:rPr>
              <w:t>APPROVED</w:t>
            </w:r>
            <w:r w:rsidRPr="00EE3F9F">
              <w:rPr>
                <w:sz w:val="20"/>
              </w:rPr>
              <w:t>)</w:t>
            </w:r>
          </w:p>
        </w:tc>
        <w:tc>
          <w:tcPr>
            <w:tcW w:w="4797" w:type="dxa"/>
          </w:tcPr>
          <w:p w:rsidR="00CA4990" w:rsidRPr="00EE3F9F" w:rsidRDefault="00D97A11" w:rsidP="00CA4990">
            <w:pPr>
              <w:rPr>
                <w:sz w:val="20"/>
              </w:rPr>
            </w:pPr>
            <w:r>
              <w:rPr>
                <w:sz w:val="20"/>
              </w:rPr>
              <w:t>Rubric for SEA Fund Requests</w:t>
            </w:r>
          </w:p>
        </w:tc>
        <w:tc>
          <w:tcPr>
            <w:tcW w:w="4797" w:type="dxa"/>
          </w:tcPr>
          <w:p w:rsidR="00CA4990" w:rsidRPr="00EE3F9F" w:rsidRDefault="00CA4990" w:rsidP="00CA4990">
            <w:pPr>
              <w:rPr>
                <w:sz w:val="20"/>
              </w:rPr>
            </w:pPr>
          </w:p>
        </w:tc>
      </w:tr>
    </w:tbl>
    <w:p w:rsidR="00B60508" w:rsidRPr="00CA45EB" w:rsidRDefault="00B60508" w:rsidP="00B60508"/>
    <w:sectPr w:rsidR="00B60508"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89" w:rsidRDefault="00630389" w:rsidP="00B22AC7">
      <w:pPr>
        <w:spacing w:after="0" w:line="240" w:lineRule="auto"/>
      </w:pPr>
      <w:r>
        <w:separator/>
      </w:r>
    </w:p>
  </w:endnote>
  <w:endnote w:type="continuationSeparator" w:id="0">
    <w:p w:rsidR="00630389" w:rsidRDefault="00630389"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89" w:rsidRDefault="00630389" w:rsidP="00B22AC7">
      <w:pPr>
        <w:spacing w:after="0" w:line="240" w:lineRule="auto"/>
      </w:pPr>
      <w:r>
        <w:separator/>
      </w:r>
    </w:p>
  </w:footnote>
  <w:footnote w:type="continuationSeparator" w:id="0">
    <w:p w:rsidR="00630389" w:rsidRDefault="00630389"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770FE"/>
    <w:rsid w:val="0008543F"/>
    <w:rsid w:val="000B2BB0"/>
    <w:rsid w:val="000C0D98"/>
    <w:rsid w:val="000C120A"/>
    <w:rsid w:val="000D0571"/>
    <w:rsid w:val="000F2E62"/>
    <w:rsid w:val="00102B3D"/>
    <w:rsid w:val="00106770"/>
    <w:rsid w:val="001171CE"/>
    <w:rsid w:val="001352E1"/>
    <w:rsid w:val="00135E73"/>
    <w:rsid w:val="00156AA4"/>
    <w:rsid w:val="0016300F"/>
    <w:rsid w:val="00166F41"/>
    <w:rsid w:val="001A4ED3"/>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1083E"/>
    <w:rsid w:val="00324DF3"/>
    <w:rsid w:val="00331287"/>
    <w:rsid w:val="003A171C"/>
    <w:rsid w:val="003A288B"/>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A0DA8"/>
    <w:rsid w:val="005A2AE3"/>
    <w:rsid w:val="005C20EA"/>
    <w:rsid w:val="005C42C4"/>
    <w:rsid w:val="005E436E"/>
    <w:rsid w:val="005F13C2"/>
    <w:rsid w:val="0060717D"/>
    <w:rsid w:val="00613D6F"/>
    <w:rsid w:val="006259B7"/>
    <w:rsid w:val="00630389"/>
    <w:rsid w:val="00632552"/>
    <w:rsid w:val="00640299"/>
    <w:rsid w:val="006555E3"/>
    <w:rsid w:val="006567E4"/>
    <w:rsid w:val="00673EF2"/>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6567"/>
    <w:rsid w:val="00921274"/>
    <w:rsid w:val="00951CC6"/>
    <w:rsid w:val="00953C25"/>
    <w:rsid w:val="00962F99"/>
    <w:rsid w:val="009667E8"/>
    <w:rsid w:val="00977BE6"/>
    <w:rsid w:val="009827D7"/>
    <w:rsid w:val="009B0EF9"/>
    <w:rsid w:val="009D092B"/>
    <w:rsid w:val="009F74E0"/>
    <w:rsid w:val="00A03AF3"/>
    <w:rsid w:val="00A04D9D"/>
    <w:rsid w:val="00A2180C"/>
    <w:rsid w:val="00A252B5"/>
    <w:rsid w:val="00A26404"/>
    <w:rsid w:val="00A2746E"/>
    <w:rsid w:val="00A46425"/>
    <w:rsid w:val="00A84321"/>
    <w:rsid w:val="00A850A3"/>
    <w:rsid w:val="00A90CF1"/>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67985"/>
    <w:rsid w:val="00B75E02"/>
    <w:rsid w:val="00B8408A"/>
    <w:rsid w:val="00BA495C"/>
    <w:rsid w:val="00BB4C10"/>
    <w:rsid w:val="00BC2593"/>
    <w:rsid w:val="00BC6079"/>
    <w:rsid w:val="00BD6CF6"/>
    <w:rsid w:val="00BF2632"/>
    <w:rsid w:val="00BF70C7"/>
    <w:rsid w:val="00C11AD7"/>
    <w:rsid w:val="00C146A1"/>
    <w:rsid w:val="00C2080F"/>
    <w:rsid w:val="00C22E4B"/>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34855"/>
    <w:rsid w:val="00E47754"/>
    <w:rsid w:val="00E55C7A"/>
    <w:rsid w:val="00E7117D"/>
    <w:rsid w:val="00E832CD"/>
    <w:rsid w:val="00E858DD"/>
    <w:rsid w:val="00EB6815"/>
    <w:rsid w:val="00ED3915"/>
    <w:rsid w:val="00EE3F9F"/>
    <w:rsid w:val="00EF1721"/>
    <w:rsid w:val="00F00EEA"/>
    <w:rsid w:val="00F2202D"/>
    <w:rsid w:val="00F325F3"/>
    <w:rsid w:val="00F53BAB"/>
    <w:rsid w:val="00F66176"/>
    <w:rsid w:val="00F66443"/>
    <w:rsid w:val="00F76090"/>
    <w:rsid w:val="00F81BE5"/>
    <w:rsid w:val="00F8325A"/>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C9BF"/>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C15E-7678-4535-A91C-79FA8545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2018-11-21T20:52:00Z</cp:lastPrinted>
  <dcterms:created xsi:type="dcterms:W3CDTF">2019-09-16T16:26:00Z</dcterms:created>
  <dcterms:modified xsi:type="dcterms:W3CDTF">2019-09-16T16:26:00Z</dcterms:modified>
</cp:coreProperties>
</file>