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915" w:rsidRPr="00624915" w:rsidRDefault="00624915" w:rsidP="00624915">
      <w:pPr>
        <w:pStyle w:val="Heading2"/>
        <w:ind w:left="0"/>
        <w:rPr>
          <w:sz w:val="20"/>
          <w:u w:val="single"/>
        </w:rPr>
      </w:pPr>
      <w:r w:rsidRPr="00624915">
        <w:rPr>
          <w:sz w:val="20"/>
          <w:u w:val="single"/>
        </w:rPr>
        <w:t>Mission Statement:</w:t>
      </w:r>
    </w:p>
    <w:p w:rsidR="00624915" w:rsidRPr="00624915" w:rsidRDefault="00970B19" w:rsidP="00624915">
      <w:pPr>
        <w:pStyle w:val="BodyText"/>
        <w:rPr>
          <w:sz w:val="20"/>
        </w:rPr>
      </w:pPr>
      <w:r>
        <w:rPr>
          <w:sz w:val="20"/>
        </w:rPr>
        <w:t>With a students first</w:t>
      </w:r>
      <w:r w:rsidR="00624915" w:rsidRPr="00624915">
        <w:rPr>
          <w:sz w:val="20"/>
        </w:rPr>
        <w:t xml:space="preserve">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rsidR="00624915" w:rsidRPr="00624915" w:rsidRDefault="00624915" w:rsidP="002065A8">
      <w:pPr>
        <w:pStyle w:val="Heading2"/>
        <w:spacing w:before="120"/>
        <w:ind w:left="0"/>
        <w:rPr>
          <w:sz w:val="20"/>
          <w:u w:val="single"/>
        </w:rPr>
      </w:pPr>
      <w:r>
        <w:rPr>
          <w:sz w:val="20"/>
          <w:u w:val="single"/>
        </w:rPr>
        <w:t xml:space="preserve">Values </w:t>
      </w:r>
      <w:r w:rsidRPr="00624915">
        <w:rPr>
          <w:sz w:val="20"/>
          <w:u w:val="single"/>
        </w:rPr>
        <w:t>Statement:</w:t>
      </w:r>
    </w:p>
    <w:p w:rsidR="00624915" w:rsidRPr="00624915" w:rsidRDefault="00624915" w:rsidP="00624915">
      <w:pPr>
        <w:widowControl/>
        <w:autoSpaceDE/>
        <w:autoSpaceDN/>
        <w:rPr>
          <w:sz w:val="20"/>
        </w:rPr>
      </w:pPr>
      <w:r w:rsidRPr="00624915">
        <w:rPr>
          <w:sz w:val="20"/>
        </w:rPr>
        <w:t>We value a learning environment that embraces innovative thinking, a culture of creativity and excellence through:</w:t>
      </w:r>
    </w:p>
    <w:p w:rsidR="00624915" w:rsidRPr="00624915" w:rsidRDefault="00624915" w:rsidP="00624915">
      <w:pPr>
        <w:widowControl/>
        <w:numPr>
          <w:ilvl w:val="0"/>
          <w:numId w:val="2"/>
        </w:numPr>
        <w:autoSpaceDE/>
        <w:autoSpaceDN/>
        <w:rPr>
          <w:sz w:val="20"/>
        </w:rPr>
      </w:pPr>
      <w:r w:rsidRPr="00624915">
        <w:rPr>
          <w:sz w:val="20"/>
        </w:rPr>
        <w:t>Community: Embrace a shared commitment to the development of relationships among internal and external constituents to foster a culture of student success</w:t>
      </w:r>
    </w:p>
    <w:p w:rsidR="00624915" w:rsidRPr="00624915" w:rsidRDefault="00624915" w:rsidP="00624915">
      <w:pPr>
        <w:widowControl/>
        <w:numPr>
          <w:ilvl w:val="0"/>
          <w:numId w:val="2"/>
        </w:numPr>
        <w:autoSpaceDE/>
        <w:autoSpaceDN/>
        <w:spacing w:before="100" w:beforeAutospacing="1" w:after="100" w:afterAutospacing="1"/>
        <w:rPr>
          <w:sz w:val="20"/>
        </w:rPr>
      </w:pPr>
      <w:r w:rsidRPr="00624915">
        <w:rPr>
          <w:sz w:val="20"/>
        </w:rPr>
        <w:t>Integrity: Commit to transparency, civility, collegiality, and collaboration in all relationships</w:t>
      </w:r>
    </w:p>
    <w:p w:rsidR="00624915" w:rsidRPr="00624915" w:rsidRDefault="00624915" w:rsidP="00624915">
      <w:pPr>
        <w:widowControl/>
        <w:numPr>
          <w:ilvl w:val="0"/>
          <w:numId w:val="2"/>
        </w:numPr>
        <w:autoSpaceDE/>
        <w:autoSpaceDN/>
        <w:spacing w:before="100" w:beforeAutospacing="1" w:after="100" w:afterAutospacing="1"/>
        <w:rPr>
          <w:sz w:val="20"/>
        </w:rPr>
      </w:pPr>
      <w:r w:rsidRPr="00624915">
        <w:rPr>
          <w:sz w:val="20"/>
        </w:rPr>
        <w:t>Equity: Recognize and respect individuals and perspectives through equitable access and participation in the campus community</w:t>
      </w:r>
    </w:p>
    <w:p w:rsidR="00624915" w:rsidRPr="00624915" w:rsidRDefault="00624915" w:rsidP="00624915">
      <w:pPr>
        <w:widowControl/>
        <w:numPr>
          <w:ilvl w:val="0"/>
          <w:numId w:val="2"/>
        </w:numPr>
        <w:autoSpaceDE/>
        <w:autoSpaceDN/>
        <w:spacing w:before="100" w:beforeAutospacing="1" w:after="100" w:afterAutospacing="1"/>
        <w:rPr>
          <w:sz w:val="20"/>
        </w:rPr>
      </w:pPr>
      <w:r w:rsidRPr="00624915">
        <w:rPr>
          <w:sz w:val="20"/>
        </w:rPr>
        <w:t>Dialogue: Foster open and productive communication between all campus and community constituents in evidence-based decision-making</w:t>
      </w:r>
    </w:p>
    <w:p w:rsidR="00624915" w:rsidRPr="00624915" w:rsidRDefault="00624915" w:rsidP="00624915">
      <w:pPr>
        <w:widowControl/>
        <w:numPr>
          <w:ilvl w:val="0"/>
          <w:numId w:val="2"/>
        </w:numPr>
        <w:autoSpaceDE/>
        <w:autoSpaceDN/>
        <w:spacing w:before="100" w:beforeAutospacing="1" w:after="100" w:afterAutospacing="1"/>
        <w:rPr>
          <w:sz w:val="20"/>
        </w:rPr>
      </w:pPr>
      <w:r w:rsidRPr="00624915">
        <w:rPr>
          <w:sz w:val="20"/>
        </w:rPr>
        <w:t>Access: Create an envir</w:t>
      </w:r>
      <w:bookmarkStart w:id="0" w:name="_GoBack"/>
      <w:bookmarkEnd w:id="0"/>
      <w:r w:rsidRPr="00624915">
        <w:rPr>
          <w:sz w:val="20"/>
        </w:rPr>
        <w:t>onment in which the institution responds to the evolving needs of all while using its constituents and technology to enhance human development and connection</w:t>
      </w:r>
    </w:p>
    <w:p w:rsidR="00624915" w:rsidRPr="00624915" w:rsidRDefault="00624915" w:rsidP="00624915">
      <w:pPr>
        <w:widowControl/>
        <w:numPr>
          <w:ilvl w:val="0"/>
          <w:numId w:val="2"/>
        </w:numPr>
        <w:autoSpaceDE/>
        <w:autoSpaceDN/>
        <w:spacing w:before="100" w:beforeAutospacing="1" w:after="100" w:afterAutospacing="1"/>
        <w:rPr>
          <w:sz w:val="20"/>
        </w:rPr>
      </w:pPr>
      <w:r w:rsidRPr="00624915">
        <w:rPr>
          <w:sz w:val="20"/>
        </w:rPr>
        <w:t>Responsibility: Live a commitment to the well-being of self, others and promoting a culture of service</w:t>
      </w:r>
    </w:p>
    <w:p w:rsidR="00624915" w:rsidRDefault="00624915" w:rsidP="002065A8">
      <w:pPr>
        <w:widowControl/>
        <w:numPr>
          <w:ilvl w:val="0"/>
          <w:numId w:val="2"/>
        </w:numPr>
        <w:autoSpaceDE/>
        <w:autoSpaceDN/>
        <w:rPr>
          <w:sz w:val="20"/>
        </w:rPr>
      </w:pPr>
      <w:r w:rsidRPr="00624915">
        <w:rPr>
          <w:sz w:val="20"/>
        </w:rPr>
        <w:t>Citizenship: Promote purposeful and proactive involvement in a local and global society</w:t>
      </w:r>
    </w:p>
    <w:p w:rsidR="00624915" w:rsidRPr="002065A8" w:rsidRDefault="002065A8" w:rsidP="002065A8">
      <w:pPr>
        <w:pStyle w:val="Heading2"/>
        <w:spacing w:before="120"/>
        <w:ind w:left="0"/>
        <w:rPr>
          <w:sz w:val="20"/>
          <w:u w:val="single"/>
        </w:rPr>
      </w:pPr>
      <w:r w:rsidRPr="002065A8">
        <w:rPr>
          <w:sz w:val="20"/>
          <w:u w:val="single"/>
        </w:rPr>
        <w:t>College Vision</w:t>
      </w:r>
    </w:p>
    <w:p w:rsidR="002065A8" w:rsidRPr="002065A8" w:rsidRDefault="002065A8" w:rsidP="002065A8">
      <w:pPr>
        <w:widowControl/>
        <w:adjustRightInd w:val="0"/>
        <w:rPr>
          <w:sz w:val="20"/>
        </w:rPr>
      </w:pPr>
      <w:r w:rsidRPr="002065A8">
        <w:rPr>
          <w:sz w:val="20"/>
        </w:rPr>
        <w:t>At Moorpark College, we encourage quality and believe our strengths</w:t>
      </w:r>
      <w:r w:rsidRPr="002065A8">
        <w:rPr>
          <w:sz w:val="20"/>
        </w:rPr>
        <w:t xml:space="preserve"> </w:t>
      </w:r>
      <w:r w:rsidRPr="002065A8">
        <w:rPr>
          <w:sz w:val="20"/>
        </w:rPr>
        <w:t>have been and will continue to be people–</w:t>
      </w:r>
      <w:r w:rsidRPr="002065A8">
        <w:rPr>
          <w:sz w:val="20"/>
        </w:rPr>
        <w:t xml:space="preserve">their flexibility, their </w:t>
      </w:r>
      <w:r w:rsidRPr="002065A8">
        <w:rPr>
          <w:sz w:val="20"/>
        </w:rPr>
        <w:t>responsiveness, and their willingness to meet the needs of our st</w:t>
      </w:r>
      <w:r w:rsidRPr="002065A8">
        <w:rPr>
          <w:sz w:val="20"/>
        </w:rPr>
        <w:t xml:space="preserve">udents </w:t>
      </w:r>
      <w:r w:rsidRPr="002065A8">
        <w:rPr>
          <w:sz w:val="20"/>
        </w:rPr>
        <w:t>and community. We believe that build</w:t>
      </w:r>
      <w:r w:rsidRPr="002065A8">
        <w:rPr>
          <w:sz w:val="20"/>
        </w:rPr>
        <w:t xml:space="preserve">ing on these strengths provides </w:t>
      </w:r>
      <w:r w:rsidRPr="002065A8">
        <w:rPr>
          <w:sz w:val="20"/>
        </w:rPr>
        <w:t>an educational experience appropriate to</w:t>
      </w:r>
      <w:r w:rsidRPr="002065A8">
        <w:rPr>
          <w:sz w:val="20"/>
        </w:rPr>
        <w:t xml:space="preserve"> the students' needs and within </w:t>
      </w:r>
      <w:r w:rsidRPr="002065A8">
        <w:rPr>
          <w:sz w:val="20"/>
        </w:rPr>
        <w:t>the College's mission.</w:t>
      </w:r>
    </w:p>
    <w:p w:rsidR="002065A8" w:rsidRPr="002065A8" w:rsidRDefault="002065A8" w:rsidP="002065A8">
      <w:pPr>
        <w:widowControl/>
        <w:adjustRightInd w:val="0"/>
        <w:spacing w:before="120"/>
        <w:rPr>
          <w:sz w:val="20"/>
        </w:rPr>
      </w:pPr>
      <w:r w:rsidRPr="002065A8">
        <w:rPr>
          <w:sz w:val="20"/>
        </w:rPr>
        <w:t>Specifically, our actions and decisions are based on the following beliefs:</w:t>
      </w:r>
    </w:p>
    <w:p w:rsidR="002065A8" w:rsidRPr="002065A8" w:rsidRDefault="002065A8" w:rsidP="002065A8">
      <w:pPr>
        <w:pStyle w:val="ListParagraph"/>
        <w:widowControl/>
        <w:numPr>
          <w:ilvl w:val="0"/>
          <w:numId w:val="4"/>
        </w:numPr>
        <w:adjustRightInd w:val="0"/>
        <w:rPr>
          <w:sz w:val="20"/>
        </w:rPr>
      </w:pPr>
      <w:r w:rsidRPr="002065A8">
        <w:rPr>
          <w:sz w:val="20"/>
        </w:rPr>
        <w:t>We will provide the best servi</w:t>
      </w:r>
      <w:r w:rsidRPr="002065A8">
        <w:rPr>
          <w:sz w:val="20"/>
        </w:rPr>
        <w:t xml:space="preserve">ces, programs and opportunities </w:t>
      </w:r>
      <w:r w:rsidRPr="002065A8">
        <w:rPr>
          <w:sz w:val="20"/>
        </w:rPr>
        <w:t>for students.</w:t>
      </w:r>
    </w:p>
    <w:p w:rsidR="002065A8" w:rsidRPr="002065A8" w:rsidRDefault="002065A8" w:rsidP="002065A8">
      <w:pPr>
        <w:pStyle w:val="ListParagraph"/>
        <w:widowControl/>
        <w:numPr>
          <w:ilvl w:val="0"/>
          <w:numId w:val="4"/>
        </w:numPr>
        <w:adjustRightInd w:val="0"/>
        <w:rPr>
          <w:sz w:val="20"/>
        </w:rPr>
      </w:pPr>
      <w:r w:rsidRPr="002065A8">
        <w:rPr>
          <w:sz w:val="20"/>
        </w:rPr>
        <w:t>We encourage creativity and</w:t>
      </w:r>
      <w:r w:rsidRPr="002065A8">
        <w:rPr>
          <w:sz w:val="20"/>
        </w:rPr>
        <w:t xml:space="preserve"> innovation and we will try new </w:t>
      </w:r>
      <w:r w:rsidRPr="002065A8">
        <w:rPr>
          <w:sz w:val="20"/>
        </w:rPr>
        <w:t>ideas and new things.</w:t>
      </w:r>
    </w:p>
    <w:p w:rsidR="002065A8" w:rsidRPr="002065A8" w:rsidRDefault="002065A8" w:rsidP="002065A8">
      <w:pPr>
        <w:pStyle w:val="ListParagraph"/>
        <w:widowControl/>
        <w:numPr>
          <w:ilvl w:val="0"/>
          <w:numId w:val="4"/>
        </w:numPr>
        <w:adjustRightInd w:val="0"/>
        <w:rPr>
          <w:sz w:val="20"/>
        </w:rPr>
      </w:pPr>
      <w:r w:rsidRPr="002065A8">
        <w:rPr>
          <w:sz w:val="20"/>
        </w:rPr>
        <w:t>All students attending Mo</w:t>
      </w:r>
      <w:r w:rsidRPr="002065A8">
        <w:rPr>
          <w:sz w:val="20"/>
        </w:rPr>
        <w:t xml:space="preserve">orpark College will receive the </w:t>
      </w:r>
      <w:r w:rsidRPr="002065A8">
        <w:rPr>
          <w:sz w:val="20"/>
        </w:rPr>
        <w:t>support they need to meet their individual educational goals.</w:t>
      </w:r>
    </w:p>
    <w:p w:rsidR="002065A8" w:rsidRPr="002065A8" w:rsidRDefault="002065A8" w:rsidP="002065A8">
      <w:pPr>
        <w:pStyle w:val="ListParagraph"/>
        <w:widowControl/>
        <w:numPr>
          <w:ilvl w:val="0"/>
          <w:numId w:val="4"/>
        </w:numPr>
        <w:adjustRightInd w:val="0"/>
        <w:rPr>
          <w:sz w:val="20"/>
        </w:rPr>
      </w:pPr>
      <w:r w:rsidRPr="002065A8">
        <w:rPr>
          <w:sz w:val="20"/>
        </w:rPr>
        <w:t>Students who wish to transfer</w:t>
      </w:r>
      <w:r w:rsidRPr="002065A8">
        <w:rPr>
          <w:sz w:val="20"/>
        </w:rPr>
        <w:t xml:space="preserve"> to four-year institutions will </w:t>
      </w:r>
      <w:r w:rsidRPr="002065A8">
        <w:rPr>
          <w:sz w:val="20"/>
        </w:rPr>
        <w:t>receive up-to-date and acc</w:t>
      </w:r>
      <w:r w:rsidRPr="002065A8">
        <w:rPr>
          <w:sz w:val="20"/>
        </w:rPr>
        <w:t xml:space="preserve">urate information to facilitate </w:t>
      </w:r>
      <w:r w:rsidRPr="002065A8">
        <w:rPr>
          <w:sz w:val="20"/>
        </w:rPr>
        <w:t>transfer.</w:t>
      </w:r>
    </w:p>
    <w:p w:rsidR="002065A8" w:rsidRPr="002065A8" w:rsidRDefault="002065A8" w:rsidP="002065A8">
      <w:pPr>
        <w:pStyle w:val="ListParagraph"/>
        <w:widowControl/>
        <w:numPr>
          <w:ilvl w:val="0"/>
          <w:numId w:val="4"/>
        </w:numPr>
        <w:adjustRightInd w:val="0"/>
        <w:rPr>
          <w:sz w:val="20"/>
        </w:rPr>
      </w:pPr>
      <w:r w:rsidRPr="002065A8">
        <w:rPr>
          <w:sz w:val="20"/>
        </w:rPr>
        <w:t>We will increase our responsi</w:t>
      </w:r>
      <w:r w:rsidRPr="002065A8">
        <w:rPr>
          <w:sz w:val="20"/>
        </w:rPr>
        <w:t xml:space="preserve">veness to business and industry </w:t>
      </w:r>
      <w:r w:rsidRPr="002065A8">
        <w:rPr>
          <w:sz w:val="20"/>
        </w:rPr>
        <w:t>in changing economic climates.</w:t>
      </w:r>
    </w:p>
    <w:p w:rsidR="002065A8" w:rsidRPr="002065A8" w:rsidRDefault="002065A8" w:rsidP="002065A8">
      <w:pPr>
        <w:pStyle w:val="ListParagraph"/>
        <w:widowControl/>
        <w:numPr>
          <w:ilvl w:val="0"/>
          <w:numId w:val="4"/>
        </w:numPr>
        <w:adjustRightInd w:val="0"/>
        <w:rPr>
          <w:sz w:val="20"/>
        </w:rPr>
      </w:pPr>
      <w:r w:rsidRPr="002065A8">
        <w:rPr>
          <w:sz w:val="20"/>
        </w:rPr>
        <w:t xml:space="preserve">We are an </w:t>
      </w:r>
      <w:r w:rsidRPr="002065A8">
        <w:rPr>
          <w:sz w:val="20"/>
        </w:rPr>
        <w:t>integral part of the community.</w:t>
      </w:r>
    </w:p>
    <w:p w:rsidR="002065A8" w:rsidRPr="002065A8" w:rsidRDefault="002065A8" w:rsidP="002065A8">
      <w:pPr>
        <w:widowControl/>
        <w:adjustRightInd w:val="0"/>
        <w:spacing w:before="120"/>
        <w:rPr>
          <w:sz w:val="20"/>
        </w:rPr>
      </w:pPr>
      <w:r w:rsidRPr="002065A8">
        <w:rPr>
          <w:sz w:val="20"/>
        </w:rPr>
        <w:t xml:space="preserve">To best implement our actions and </w:t>
      </w:r>
      <w:r w:rsidRPr="002065A8">
        <w:rPr>
          <w:sz w:val="20"/>
        </w:rPr>
        <w:t xml:space="preserve">decisions, our internal working </w:t>
      </w:r>
      <w:r w:rsidRPr="002065A8">
        <w:rPr>
          <w:sz w:val="20"/>
        </w:rPr>
        <w:t>environment is based on the following beliefs:</w:t>
      </w:r>
    </w:p>
    <w:p w:rsidR="002065A8" w:rsidRPr="002065A8" w:rsidRDefault="002065A8" w:rsidP="002065A8">
      <w:pPr>
        <w:pStyle w:val="ListParagraph"/>
        <w:widowControl/>
        <w:numPr>
          <w:ilvl w:val="0"/>
          <w:numId w:val="4"/>
        </w:numPr>
        <w:adjustRightInd w:val="0"/>
        <w:rPr>
          <w:sz w:val="20"/>
        </w:rPr>
      </w:pPr>
      <w:r w:rsidRPr="002065A8">
        <w:rPr>
          <w:sz w:val="20"/>
        </w:rPr>
        <w:t>Shared governance is an accep</w:t>
      </w:r>
      <w:r w:rsidRPr="002065A8">
        <w:rPr>
          <w:sz w:val="20"/>
        </w:rPr>
        <w:t xml:space="preserve">ted part of our decision-making </w:t>
      </w:r>
      <w:r w:rsidRPr="002065A8">
        <w:rPr>
          <w:sz w:val="20"/>
        </w:rPr>
        <w:t>process.</w:t>
      </w:r>
    </w:p>
    <w:p w:rsidR="002065A8" w:rsidRPr="002065A8" w:rsidRDefault="002065A8" w:rsidP="002065A8">
      <w:pPr>
        <w:pStyle w:val="ListParagraph"/>
        <w:widowControl/>
        <w:numPr>
          <w:ilvl w:val="0"/>
          <w:numId w:val="4"/>
        </w:numPr>
        <w:adjustRightInd w:val="0"/>
        <w:rPr>
          <w:sz w:val="20"/>
        </w:rPr>
      </w:pPr>
      <w:r w:rsidRPr="002065A8">
        <w:rPr>
          <w:sz w:val="20"/>
        </w:rPr>
        <w:t>We will strive to build gr</w:t>
      </w:r>
      <w:r w:rsidRPr="002065A8">
        <w:rPr>
          <w:sz w:val="20"/>
        </w:rPr>
        <w:t xml:space="preserve">eater trust, understanding, and </w:t>
      </w:r>
      <w:r w:rsidRPr="002065A8">
        <w:rPr>
          <w:sz w:val="20"/>
        </w:rPr>
        <w:t>cooperation between the other segments of the Ventura County</w:t>
      </w:r>
    </w:p>
    <w:p w:rsidR="002065A8" w:rsidRPr="002065A8" w:rsidRDefault="002065A8" w:rsidP="002065A8">
      <w:pPr>
        <w:pStyle w:val="ListParagraph"/>
        <w:widowControl/>
        <w:numPr>
          <w:ilvl w:val="0"/>
          <w:numId w:val="5"/>
        </w:numPr>
        <w:adjustRightInd w:val="0"/>
        <w:rPr>
          <w:sz w:val="20"/>
        </w:rPr>
      </w:pPr>
      <w:r w:rsidRPr="002065A8">
        <w:rPr>
          <w:sz w:val="20"/>
        </w:rPr>
        <w:t>Community College District and Moorpark College.</w:t>
      </w:r>
    </w:p>
    <w:p w:rsidR="002065A8" w:rsidRPr="002065A8" w:rsidRDefault="002065A8" w:rsidP="002065A8">
      <w:pPr>
        <w:pStyle w:val="ListParagraph"/>
        <w:widowControl/>
        <w:numPr>
          <w:ilvl w:val="0"/>
          <w:numId w:val="5"/>
        </w:numPr>
        <w:adjustRightInd w:val="0"/>
        <w:rPr>
          <w:sz w:val="20"/>
        </w:rPr>
      </w:pPr>
      <w:r w:rsidRPr="002065A8">
        <w:rPr>
          <w:sz w:val="20"/>
        </w:rPr>
        <w:t>We will provide all staf</w:t>
      </w:r>
      <w:r w:rsidRPr="002065A8">
        <w:rPr>
          <w:sz w:val="20"/>
        </w:rPr>
        <w:t xml:space="preserve">f with support for professional </w:t>
      </w:r>
      <w:r w:rsidRPr="002065A8">
        <w:rPr>
          <w:sz w:val="20"/>
        </w:rPr>
        <w:t>development.</w:t>
      </w:r>
    </w:p>
    <w:p w:rsidR="00624915" w:rsidRPr="00624915" w:rsidRDefault="00624915" w:rsidP="002065A8">
      <w:pPr>
        <w:pStyle w:val="Heading2"/>
        <w:spacing w:before="120"/>
        <w:ind w:left="0"/>
        <w:rPr>
          <w:sz w:val="20"/>
        </w:rPr>
      </w:pPr>
      <w:r w:rsidRPr="00624915">
        <w:rPr>
          <w:sz w:val="20"/>
          <w:u w:val="single"/>
        </w:rPr>
        <w:t>Strategic Directions:</w:t>
      </w:r>
    </w:p>
    <w:p w:rsidR="00624915" w:rsidRPr="00624915" w:rsidRDefault="002065A8" w:rsidP="00624915">
      <w:pPr>
        <w:pStyle w:val="BodyText"/>
        <w:ind w:right="256"/>
        <w:rPr>
          <w:sz w:val="20"/>
        </w:rPr>
      </w:pPr>
      <w:r>
        <w:rPr>
          <w:sz w:val="20"/>
        </w:rPr>
        <w:t xml:space="preserve">To achieve our Mission, the college defines </w:t>
      </w:r>
      <w:r w:rsidR="00624915" w:rsidRPr="00624915">
        <w:rPr>
          <w:sz w:val="20"/>
        </w:rPr>
        <w:t xml:space="preserve">Strategic Directions </w:t>
      </w:r>
      <w:r>
        <w:rPr>
          <w:sz w:val="20"/>
        </w:rPr>
        <w:t xml:space="preserve">that </w:t>
      </w:r>
      <w:r w:rsidR="00624915" w:rsidRPr="00624915">
        <w:rPr>
          <w:sz w:val="20"/>
        </w:rPr>
        <w:t>form the basis for institutional effectiveness measures and inform the development of the next Educational Master Plan.</w:t>
      </w:r>
    </w:p>
    <w:p w:rsidR="00624915" w:rsidRPr="00624915" w:rsidRDefault="00624915" w:rsidP="002065A8">
      <w:pPr>
        <w:pStyle w:val="Heading2"/>
        <w:spacing w:before="120"/>
        <w:ind w:left="0"/>
        <w:rPr>
          <w:sz w:val="20"/>
        </w:rPr>
      </w:pPr>
      <w:r w:rsidRPr="00624915">
        <w:rPr>
          <w:sz w:val="20"/>
          <w:u w:val="single"/>
        </w:rPr>
        <w:t>Goals:</w:t>
      </w:r>
    </w:p>
    <w:p w:rsidR="00624915" w:rsidRPr="00624915" w:rsidRDefault="00624915" w:rsidP="00624915">
      <w:pPr>
        <w:pStyle w:val="BodyText"/>
        <w:ind w:right="413"/>
        <w:jc w:val="both"/>
        <w:rPr>
          <w:sz w:val="20"/>
        </w:rPr>
      </w:pPr>
      <w:r w:rsidRPr="00624915">
        <w:rPr>
          <w:sz w:val="20"/>
        </w:rPr>
        <w:t xml:space="preserve">The college’s planning decisions align with the Strategic Directions through the achievement of the established goals that </w:t>
      </w:r>
      <w:r w:rsidR="002065A8">
        <w:rPr>
          <w:sz w:val="20"/>
        </w:rPr>
        <w:t>are</w:t>
      </w:r>
      <w:r w:rsidRPr="00624915">
        <w:rPr>
          <w:sz w:val="20"/>
        </w:rPr>
        <w:t xml:space="preserve"> identified for each of the Strategic Directions. These goals form the basis for institutional effectiveness metrics and progress on these metrics is </w:t>
      </w:r>
      <w:r w:rsidR="002065A8">
        <w:rPr>
          <w:sz w:val="20"/>
        </w:rPr>
        <w:t xml:space="preserve">to be </w:t>
      </w:r>
      <w:r w:rsidRPr="00624915">
        <w:rPr>
          <w:sz w:val="20"/>
        </w:rPr>
        <w:t>reported annually</w:t>
      </w:r>
      <w:r w:rsidR="002065A8">
        <w:rPr>
          <w:sz w:val="20"/>
        </w:rPr>
        <w:t xml:space="preserve"> (mechanism of reporting is still to be determined once the CCCCO completes its Simplified Metric conversation)</w:t>
      </w:r>
    </w:p>
    <w:p w:rsidR="00624915" w:rsidRPr="00624915" w:rsidRDefault="00624915" w:rsidP="002065A8">
      <w:pPr>
        <w:pStyle w:val="Heading2"/>
        <w:spacing w:before="120"/>
        <w:ind w:left="0"/>
        <w:rPr>
          <w:sz w:val="20"/>
        </w:rPr>
      </w:pPr>
      <w:r w:rsidRPr="00624915">
        <w:rPr>
          <w:sz w:val="20"/>
          <w:u w:val="single"/>
        </w:rPr>
        <w:t>Action Steps and Outcomes:</w:t>
      </w:r>
    </w:p>
    <w:p w:rsidR="002065A8" w:rsidRDefault="00624915" w:rsidP="00970B19">
      <w:pPr>
        <w:pStyle w:val="BodyText"/>
        <w:ind w:right="220"/>
        <w:rPr>
          <w:sz w:val="20"/>
        </w:rPr>
      </w:pPr>
      <w:r w:rsidRPr="00624915">
        <w:rPr>
          <w:sz w:val="20"/>
        </w:rPr>
        <w:t>Multiple action steps may be identified for each goal</w:t>
      </w:r>
      <w:r w:rsidR="002065A8">
        <w:rPr>
          <w:sz w:val="20"/>
        </w:rPr>
        <w:t>, and will become a part of the college’s Strategic Plan</w:t>
      </w:r>
      <w:r w:rsidRPr="00624915">
        <w:rPr>
          <w:sz w:val="20"/>
        </w:rPr>
        <w:t>. Action steps are tactical and are assigned a responsible party, with an implementation timeline. Measureable outcomes have been defined as appropriate and progress will be reviewed annually as part of the program planning process.</w:t>
      </w:r>
      <w:r w:rsidR="002065A8">
        <w:rPr>
          <w:sz w:val="20"/>
        </w:rPr>
        <w:t xml:space="preserve"> </w:t>
      </w:r>
      <w:bookmarkStart w:id="1" w:name="_TOC_250004"/>
      <w:bookmarkEnd w:id="1"/>
    </w:p>
    <w:p w:rsidR="002065A8" w:rsidRPr="00970B19" w:rsidRDefault="002065A8" w:rsidP="00970B19">
      <w:pPr>
        <w:pStyle w:val="Heading2"/>
        <w:ind w:left="0"/>
        <w:rPr>
          <w:sz w:val="20"/>
          <w:u w:val="single"/>
        </w:rPr>
      </w:pPr>
      <w:r w:rsidRPr="00970B19">
        <w:rPr>
          <w:sz w:val="20"/>
          <w:u w:val="single"/>
        </w:rPr>
        <w:lastRenderedPageBreak/>
        <w:t>2009-2019 Educational Master Plan: Strategic Directions and Strategic Plan 2016-2019 Goals</w:t>
      </w:r>
    </w:p>
    <w:p w:rsidR="00624915" w:rsidRPr="00970B19" w:rsidRDefault="00624915" w:rsidP="00970B19">
      <w:pPr>
        <w:pStyle w:val="Heading2"/>
        <w:spacing w:before="120"/>
        <w:ind w:left="0"/>
        <w:rPr>
          <w:bCs w:val="0"/>
          <w:sz w:val="20"/>
        </w:rPr>
      </w:pPr>
      <w:r w:rsidRPr="00970B19">
        <w:rPr>
          <w:bCs w:val="0"/>
          <w:sz w:val="20"/>
        </w:rPr>
        <w:t>Strategic Direction 1: Student Access</w:t>
      </w:r>
    </w:p>
    <w:p w:rsidR="00624915" w:rsidRPr="00970B19" w:rsidRDefault="00624915" w:rsidP="00970B19">
      <w:pPr>
        <w:pStyle w:val="ListParagraph"/>
        <w:numPr>
          <w:ilvl w:val="0"/>
          <w:numId w:val="6"/>
        </w:numPr>
        <w:rPr>
          <w:sz w:val="20"/>
        </w:rPr>
      </w:pPr>
      <w:r w:rsidRPr="00970B19">
        <w:rPr>
          <w:sz w:val="20"/>
        </w:rPr>
        <w:t>Goal 1.1: Increase the profile of Moorpark College throughout our community, specifically reaching out to adult learners and historically underrepresented populations within our community.</w:t>
      </w:r>
    </w:p>
    <w:p w:rsidR="00624915" w:rsidRPr="00970B19" w:rsidRDefault="00624915" w:rsidP="00970B19">
      <w:pPr>
        <w:pStyle w:val="Heading2"/>
        <w:numPr>
          <w:ilvl w:val="0"/>
          <w:numId w:val="6"/>
        </w:numPr>
        <w:rPr>
          <w:b w:val="0"/>
          <w:bCs w:val="0"/>
          <w:sz w:val="20"/>
        </w:rPr>
      </w:pPr>
      <w:r w:rsidRPr="00970B19">
        <w:rPr>
          <w:b w:val="0"/>
          <w:bCs w:val="0"/>
          <w:sz w:val="20"/>
        </w:rPr>
        <w:t>Goal 1.2: Reduce barriers to registration and enrollment for all students.</w:t>
      </w:r>
    </w:p>
    <w:p w:rsidR="00624915" w:rsidRPr="00970B19" w:rsidRDefault="00624915" w:rsidP="00970B19">
      <w:pPr>
        <w:pStyle w:val="Heading2"/>
        <w:spacing w:before="120"/>
        <w:ind w:left="0"/>
        <w:rPr>
          <w:bCs w:val="0"/>
          <w:sz w:val="20"/>
        </w:rPr>
      </w:pPr>
      <w:bookmarkStart w:id="2" w:name="_TOC_250003"/>
      <w:bookmarkEnd w:id="2"/>
      <w:r w:rsidRPr="00970B19">
        <w:rPr>
          <w:bCs w:val="0"/>
          <w:sz w:val="20"/>
        </w:rPr>
        <w:t>Strategic Direction 2: Student Retention and Success</w:t>
      </w:r>
    </w:p>
    <w:p w:rsidR="00624915" w:rsidRPr="00970B19" w:rsidRDefault="00624915" w:rsidP="00970B19">
      <w:pPr>
        <w:pStyle w:val="ListParagraph"/>
        <w:numPr>
          <w:ilvl w:val="0"/>
          <w:numId w:val="7"/>
        </w:numPr>
        <w:rPr>
          <w:sz w:val="20"/>
        </w:rPr>
      </w:pPr>
      <w:r w:rsidRPr="00970B19">
        <w:rPr>
          <w:sz w:val="20"/>
        </w:rPr>
        <w:t>Goal 2.1: Increase successful course completion.</w:t>
      </w:r>
    </w:p>
    <w:p w:rsidR="00624915" w:rsidRPr="00970B19" w:rsidRDefault="00624915" w:rsidP="00970B19">
      <w:pPr>
        <w:pStyle w:val="Heading2"/>
        <w:numPr>
          <w:ilvl w:val="0"/>
          <w:numId w:val="7"/>
        </w:numPr>
        <w:rPr>
          <w:b w:val="0"/>
          <w:bCs w:val="0"/>
          <w:sz w:val="20"/>
        </w:rPr>
      </w:pPr>
      <w:r w:rsidRPr="00970B19">
        <w:rPr>
          <w:b w:val="0"/>
          <w:bCs w:val="0"/>
          <w:sz w:val="20"/>
        </w:rPr>
        <w:t>Goal 2.2: Increase semester-to-semester retention (persistence).</w:t>
      </w:r>
    </w:p>
    <w:p w:rsidR="00624915" w:rsidRPr="00970B19" w:rsidRDefault="00624915" w:rsidP="00970B19">
      <w:pPr>
        <w:pStyle w:val="Heading2"/>
        <w:numPr>
          <w:ilvl w:val="0"/>
          <w:numId w:val="7"/>
        </w:numPr>
        <w:rPr>
          <w:b w:val="0"/>
          <w:bCs w:val="0"/>
          <w:sz w:val="20"/>
        </w:rPr>
      </w:pPr>
      <w:r w:rsidRPr="00970B19">
        <w:rPr>
          <w:b w:val="0"/>
          <w:bCs w:val="0"/>
          <w:sz w:val="20"/>
        </w:rPr>
        <w:t>Goal 2.3: Provide clear pathways for students to complete the requirements for transfer, degree attainment, and certificate of achievement completion.</w:t>
      </w:r>
    </w:p>
    <w:p w:rsidR="00624915" w:rsidRPr="00970B19" w:rsidRDefault="00624915" w:rsidP="00970B19">
      <w:pPr>
        <w:pStyle w:val="Heading2"/>
        <w:numPr>
          <w:ilvl w:val="0"/>
          <w:numId w:val="7"/>
        </w:numPr>
        <w:rPr>
          <w:b w:val="0"/>
          <w:bCs w:val="0"/>
          <w:sz w:val="20"/>
        </w:rPr>
      </w:pPr>
      <w:r w:rsidRPr="00970B19">
        <w:rPr>
          <w:b w:val="0"/>
          <w:bCs w:val="0"/>
          <w:sz w:val="20"/>
        </w:rPr>
        <w:t>Goal 2.4: Connect Student Services with Academic Departments</w:t>
      </w:r>
    </w:p>
    <w:p w:rsidR="00624915" w:rsidRPr="00970B19" w:rsidRDefault="00624915" w:rsidP="00970B19">
      <w:pPr>
        <w:pStyle w:val="Heading2"/>
        <w:spacing w:before="120"/>
        <w:ind w:left="0"/>
        <w:rPr>
          <w:bCs w:val="0"/>
          <w:sz w:val="20"/>
        </w:rPr>
      </w:pPr>
      <w:r w:rsidRPr="00970B19">
        <w:rPr>
          <w:bCs w:val="0"/>
          <w:sz w:val="20"/>
        </w:rPr>
        <w:t>Strategic Direction 3: Responsiveness to Marketplace through Career Preparation and Training</w:t>
      </w:r>
    </w:p>
    <w:p w:rsidR="00624915" w:rsidRPr="00970B19" w:rsidRDefault="00624915" w:rsidP="00970B19">
      <w:pPr>
        <w:pStyle w:val="ListParagraph"/>
        <w:numPr>
          <w:ilvl w:val="0"/>
          <w:numId w:val="8"/>
        </w:numPr>
        <w:rPr>
          <w:sz w:val="20"/>
        </w:rPr>
      </w:pPr>
      <w:r w:rsidRPr="00970B19">
        <w:rPr>
          <w:sz w:val="20"/>
        </w:rPr>
        <w:t>Goal 3.1: Link Moorpark College’s Career Technical Education (CTE) programs with labor market needs and careers within the local community.</w:t>
      </w:r>
    </w:p>
    <w:p w:rsidR="00624915" w:rsidRPr="00970B19" w:rsidRDefault="00624915" w:rsidP="00970B19">
      <w:pPr>
        <w:pStyle w:val="Heading2"/>
        <w:numPr>
          <w:ilvl w:val="0"/>
          <w:numId w:val="8"/>
        </w:numPr>
        <w:rPr>
          <w:b w:val="0"/>
          <w:bCs w:val="0"/>
          <w:sz w:val="20"/>
        </w:rPr>
      </w:pPr>
      <w:r w:rsidRPr="00970B19">
        <w:rPr>
          <w:b w:val="0"/>
          <w:bCs w:val="0"/>
          <w:sz w:val="20"/>
        </w:rPr>
        <w:t>Goal 3.2: Provide clear career pathways for our CTE students</w:t>
      </w:r>
    </w:p>
    <w:p w:rsidR="00624915" w:rsidRPr="00970B19" w:rsidRDefault="00624915" w:rsidP="00970B19">
      <w:pPr>
        <w:pStyle w:val="Heading2"/>
        <w:numPr>
          <w:ilvl w:val="0"/>
          <w:numId w:val="8"/>
        </w:numPr>
        <w:rPr>
          <w:b w:val="0"/>
          <w:bCs w:val="0"/>
          <w:sz w:val="20"/>
        </w:rPr>
      </w:pPr>
      <w:r w:rsidRPr="00970B19">
        <w:rPr>
          <w:b w:val="0"/>
          <w:bCs w:val="0"/>
          <w:sz w:val="20"/>
        </w:rPr>
        <w:t>Goal 3.3: Provide work-based learning opportunities to enhance student success and employability.</w:t>
      </w:r>
    </w:p>
    <w:p w:rsidR="00624915" w:rsidRPr="00970B19" w:rsidRDefault="00624915" w:rsidP="00970B19">
      <w:pPr>
        <w:pStyle w:val="Heading2"/>
        <w:numPr>
          <w:ilvl w:val="0"/>
          <w:numId w:val="8"/>
        </w:numPr>
        <w:rPr>
          <w:b w:val="0"/>
          <w:bCs w:val="0"/>
          <w:sz w:val="20"/>
        </w:rPr>
      </w:pPr>
      <w:r w:rsidRPr="00970B19">
        <w:rPr>
          <w:b w:val="0"/>
          <w:bCs w:val="0"/>
          <w:sz w:val="20"/>
        </w:rPr>
        <w:t>Goal 3.4: Strengthen links with local high schools to provide collegiate opportunities for high school students.</w:t>
      </w:r>
    </w:p>
    <w:p w:rsidR="00624915" w:rsidRPr="00970B19" w:rsidRDefault="00624915" w:rsidP="00970B19">
      <w:pPr>
        <w:pStyle w:val="Heading2"/>
        <w:spacing w:before="120"/>
        <w:ind w:left="0"/>
        <w:rPr>
          <w:bCs w:val="0"/>
          <w:sz w:val="20"/>
        </w:rPr>
      </w:pPr>
      <w:r w:rsidRPr="00970B19">
        <w:rPr>
          <w:bCs w:val="0"/>
          <w:sz w:val="20"/>
        </w:rPr>
        <w:t>Strategic Direction 4: Effective Use of Organizational Resources (including human, facility, financial, and technology resources)</w:t>
      </w:r>
    </w:p>
    <w:p w:rsidR="00624915" w:rsidRPr="00970B19" w:rsidRDefault="00624915" w:rsidP="00970B19">
      <w:pPr>
        <w:pStyle w:val="ListParagraph"/>
        <w:numPr>
          <w:ilvl w:val="0"/>
          <w:numId w:val="9"/>
        </w:numPr>
        <w:rPr>
          <w:sz w:val="20"/>
        </w:rPr>
      </w:pPr>
      <w:r w:rsidRPr="00970B19">
        <w:rPr>
          <w:sz w:val="20"/>
        </w:rPr>
        <w:t>Goal 4.1: Establish an organizational structure that enables the college to effectively accomplish our mission while maintaining our integrated and collaborative culture.</w:t>
      </w:r>
    </w:p>
    <w:p w:rsidR="00624915" w:rsidRPr="00970B19" w:rsidRDefault="00624915" w:rsidP="00970B19">
      <w:pPr>
        <w:pStyle w:val="Heading2"/>
        <w:numPr>
          <w:ilvl w:val="0"/>
          <w:numId w:val="9"/>
        </w:numPr>
        <w:rPr>
          <w:b w:val="0"/>
          <w:bCs w:val="0"/>
          <w:sz w:val="20"/>
        </w:rPr>
      </w:pPr>
      <w:r w:rsidRPr="00970B19">
        <w:rPr>
          <w:b w:val="0"/>
          <w:bCs w:val="0"/>
          <w:sz w:val="20"/>
        </w:rPr>
        <w:t>Goal 4.2: Articulate the resource allocation process to improve clarity and inclusiveness in the determination of resources across campus.</w:t>
      </w:r>
    </w:p>
    <w:p w:rsidR="00624915" w:rsidRPr="00970B19" w:rsidRDefault="00624915" w:rsidP="00970B19">
      <w:pPr>
        <w:pStyle w:val="Heading2"/>
        <w:numPr>
          <w:ilvl w:val="0"/>
          <w:numId w:val="9"/>
        </w:numPr>
        <w:rPr>
          <w:b w:val="0"/>
          <w:bCs w:val="0"/>
          <w:sz w:val="20"/>
        </w:rPr>
      </w:pPr>
      <w:r w:rsidRPr="00970B19">
        <w:rPr>
          <w:b w:val="0"/>
          <w:bCs w:val="0"/>
          <w:sz w:val="20"/>
        </w:rPr>
        <w:t>Goal 4.3: Cultivate and support a culture of professional growth to promote excellence in the development of faculty and staff in support of students.</w:t>
      </w:r>
    </w:p>
    <w:p w:rsidR="00624915" w:rsidRPr="00970B19" w:rsidRDefault="00624915" w:rsidP="00970B19">
      <w:pPr>
        <w:pStyle w:val="Heading2"/>
        <w:numPr>
          <w:ilvl w:val="0"/>
          <w:numId w:val="9"/>
        </w:numPr>
        <w:rPr>
          <w:b w:val="0"/>
          <w:bCs w:val="0"/>
          <w:sz w:val="20"/>
        </w:rPr>
      </w:pPr>
      <w:r w:rsidRPr="00970B19">
        <w:rPr>
          <w:b w:val="0"/>
          <w:bCs w:val="0"/>
          <w:sz w:val="20"/>
        </w:rPr>
        <w:t>Goal 4.4: Create and enhance sustainable and modernized learning environments that support student learning.</w:t>
      </w:r>
    </w:p>
    <w:p w:rsidR="00624915" w:rsidRPr="00970B19" w:rsidRDefault="00624915" w:rsidP="00970B19">
      <w:pPr>
        <w:pStyle w:val="Heading2"/>
        <w:spacing w:before="120"/>
        <w:ind w:left="0"/>
        <w:rPr>
          <w:bCs w:val="0"/>
          <w:sz w:val="20"/>
        </w:rPr>
      </w:pPr>
      <w:bookmarkStart w:id="3" w:name="_TOC_250002"/>
      <w:bookmarkEnd w:id="3"/>
      <w:r w:rsidRPr="00970B19">
        <w:rPr>
          <w:bCs w:val="0"/>
          <w:sz w:val="20"/>
        </w:rPr>
        <w:t>Strategic Direction 5: Campus Safety and Security</w:t>
      </w:r>
    </w:p>
    <w:p w:rsidR="00624915" w:rsidRPr="00970B19" w:rsidRDefault="00624915" w:rsidP="00970B19">
      <w:pPr>
        <w:pStyle w:val="ListParagraph"/>
        <w:numPr>
          <w:ilvl w:val="0"/>
          <w:numId w:val="10"/>
        </w:numPr>
        <w:rPr>
          <w:sz w:val="20"/>
        </w:rPr>
      </w:pPr>
      <w:r w:rsidRPr="00970B19">
        <w:rPr>
          <w:sz w:val="20"/>
        </w:rPr>
        <w:t>Goal 5.1: Complete and implement a sustainable Moorpark College emergency plan.</w:t>
      </w:r>
    </w:p>
    <w:p w:rsidR="00624915" w:rsidRPr="00970B19" w:rsidRDefault="00624915" w:rsidP="00970B19">
      <w:pPr>
        <w:pStyle w:val="Heading2"/>
        <w:numPr>
          <w:ilvl w:val="0"/>
          <w:numId w:val="10"/>
        </w:numPr>
        <w:rPr>
          <w:b w:val="0"/>
          <w:bCs w:val="0"/>
          <w:sz w:val="20"/>
        </w:rPr>
      </w:pPr>
      <w:r w:rsidRPr="00970B19">
        <w:rPr>
          <w:b w:val="0"/>
          <w:bCs w:val="0"/>
          <w:sz w:val="20"/>
        </w:rPr>
        <w:t>Goal 5.2: Improve day-to-day campus safety</w:t>
      </w:r>
    </w:p>
    <w:p w:rsidR="002E63F2" w:rsidRDefault="002E63F2" w:rsidP="00970B19"/>
    <w:p w:rsidR="00970B19" w:rsidRDefault="00970B19" w:rsidP="00970B19"/>
    <w:p w:rsidR="00970B19" w:rsidRPr="00970B19" w:rsidRDefault="00970B19" w:rsidP="00970B19">
      <w:pPr>
        <w:rPr>
          <w:b/>
          <w:i/>
        </w:rPr>
      </w:pPr>
      <w:r w:rsidRPr="00970B19">
        <w:rPr>
          <w:b/>
          <w:i/>
        </w:rPr>
        <w:t>Proposed additions for our college’s goals:</w:t>
      </w:r>
    </w:p>
    <w:p w:rsidR="00970B19" w:rsidRPr="00970B19" w:rsidRDefault="00970B19" w:rsidP="00970B19">
      <w:pPr>
        <w:pStyle w:val="ListParagraph"/>
        <w:numPr>
          <w:ilvl w:val="0"/>
          <w:numId w:val="11"/>
        </w:numPr>
        <w:rPr>
          <w:i/>
        </w:rPr>
      </w:pPr>
      <w:r w:rsidRPr="00970B19">
        <w:rPr>
          <w:i/>
        </w:rPr>
        <w:t>Civic Engagement as a component of Student Success</w:t>
      </w:r>
    </w:p>
    <w:p w:rsidR="00970B19" w:rsidRPr="00970B19" w:rsidRDefault="00970B19" w:rsidP="00970B19">
      <w:pPr>
        <w:pStyle w:val="ListParagraph"/>
        <w:numPr>
          <w:ilvl w:val="0"/>
          <w:numId w:val="11"/>
        </w:numPr>
        <w:rPr>
          <w:i/>
        </w:rPr>
      </w:pPr>
      <w:r w:rsidRPr="00970B19">
        <w:rPr>
          <w:i/>
        </w:rPr>
        <w:t>Sustainability</w:t>
      </w:r>
      <w:r>
        <w:rPr>
          <w:i/>
        </w:rPr>
        <w:t xml:space="preserve"> as a function of organizational effectiveness</w:t>
      </w:r>
    </w:p>
    <w:p w:rsidR="00970B19" w:rsidRPr="00970B19" w:rsidRDefault="00970B19" w:rsidP="00970B19">
      <w:pPr>
        <w:rPr>
          <w:i/>
        </w:rPr>
      </w:pPr>
      <w:r w:rsidRPr="00970B19">
        <w:rPr>
          <w:i/>
        </w:rPr>
        <w:t>If we add these goals, what might the action steps look like and how would we measure for success?</w:t>
      </w:r>
    </w:p>
    <w:p w:rsidR="00970B19" w:rsidRPr="00970B19" w:rsidRDefault="00970B19" w:rsidP="00970B19"/>
    <w:sectPr w:rsidR="00970B19" w:rsidRPr="00970B19" w:rsidSect="00624915">
      <w:pgSz w:w="15840" w:h="12240" w:orient="landscape"/>
      <w:pgMar w:top="86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78E"/>
    <w:multiLevelType w:val="hybridMultilevel"/>
    <w:tmpl w:val="69E025E8"/>
    <w:lvl w:ilvl="0" w:tplc="F66EA17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978C5"/>
    <w:multiLevelType w:val="hybridMultilevel"/>
    <w:tmpl w:val="C52016DC"/>
    <w:lvl w:ilvl="0" w:tplc="F66EA17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C125B"/>
    <w:multiLevelType w:val="multilevel"/>
    <w:tmpl w:val="D0AA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E1AE1"/>
    <w:multiLevelType w:val="hybridMultilevel"/>
    <w:tmpl w:val="A84E5506"/>
    <w:lvl w:ilvl="0" w:tplc="F66EA17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F4BA6"/>
    <w:multiLevelType w:val="hybridMultilevel"/>
    <w:tmpl w:val="B63238B6"/>
    <w:lvl w:ilvl="0" w:tplc="F66EA17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F1B15"/>
    <w:multiLevelType w:val="hybridMultilevel"/>
    <w:tmpl w:val="3F6A210C"/>
    <w:lvl w:ilvl="0" w:tplc="4D16A324">
      <w:numFmt w:val="bullet"/>
      <w:lvlText w:val=""/>
      <w:lvlJc w:val="left"/>
      <w:pPr>
        <w:ind w:left="820" w:hanging="360"/>
      </w:pPr>
      <w:rPr>
        <w:rFonts w:ascii="Symbol" w:eastAsia="Symbol" w:hAnsi="Symbol" w:cs="Symbol" w:hint="default"/>
        <w:w w:val="100"/>
        <w:sz w:val="22"/>
        <w:szCs w:val="22"/>
        <w:lang w:val="en-US" w:eastAsia="en-US" w:bidi="en-US"/>
      </w:rPr>
    </w:lvl>
    <w:lvl w:ilvl="1" w:tplc="1CC89C8C">
      <w:numFmt w:val="bullet"/>
      <w:lvlText w:val=""/>
      <w:lvlJc w:val="left"/>
      <w:pPr>
        <w:ind w:left="1180" w:hanging="360"/>
      </w:pPr>
      <w:rPr>
        <w:rFonts w:ascii="Symbol" w:eastAsia="Symbol" w:hAnsi="Symbol" w:cs="Symbol" w:hint="default"/>
        <w:w w:val="100"/>
        <w:sz w:val="22"/>
        <w:szCs w:val="22"/>
        <w:lang w:val="en-US" w:eastAsia="en-US" w:bidi="en-US"/>
      </w:rPr>
    </w:lvl>
    <w:lvl w:ilvl="2" w:tplc="31A00E9E">
      <w:numFmt w:val="bullet"/>
      <w:lvlText w:val="•"/>
      <w:lvlJc w:val="left"/>
      <w:pPr>
        <w:ind w:left="2204" w:hanging="360"/>
      </w:pPr>
      <w:rPr>
        <w:rFonts w:hint="default"/>
        <w:lang w:val="en-US" w:eastAsia="en-US" w:bidi="en-US"/>
      </w:rPr>
    </w:lvl>
    <w:lvl w:ilvl="3" w:tplc="3B801B86">
      <w:numFmt w:val="bullet"/>
      <w:lvlText w:val="•"/>
      <w:lvlJc w:val="left"/>
      <w:pPr>
        <w:ind w:left="3228" w:hanging="360"/>
      </w:pPr>
      <w:rPr>
        <w:rFonts w:hint="default"/>
        <w:lang w:val="en-US" w:eastAsia="en-US" w:bidi="en-US"/>
      </w:rPr>
    </w:lvl>
    <w:lvl w:ilvl="4" w:tplc="561E0F34">
      <w:numFmt w:val="bullet"/>
      <w:lvlText w:val="•"/>
      <w:lvlJc w:val="left"/>
      <w:pPr>
        <w:ind w:left="4253" w:hanging="360"/>
      </w:pPr>
      <w:rPr>
        <w:rFonts w:hint="default"/>
        <w:lang w:val="en-US" w:eastAsia="en-US" w:bidi="en-US"/>
      </w:rPr>
    </w:lvl>
    <w:lvl w:ilvl="5" w:tplc="B6768180">
      <w:numFmt w:val="bullet"/>
      <w:lvlText w:val="•"/>
      <w:lvlJc w:val="left"/>
      <w:pPr>
        <w:ind w:left="5277" w:hanging="360"/>
      </w:pPr>
      <w:rPr>
        <w:rFonts w:hint="default"/>
        <w:lang w:val="en-US" w:eastAsia="en-US" w:bidi="en-US"/>
      </w:rPr>
    </w:lvl>
    <w:lvl w:ilvl="6" w:tplc="B48A8FBC">
      <w:numFmt w:val="bullet"/>
      <w:lvlText w:val="•"/>
      <w:lvlJc w:val="left"/>
      <w:pPr>
        <w:ind w:left="6302" w:hanging="360"/>
      </w:pPr>
      <w:rPr>
        <w:rFonts w:hint="default"/>
        <w:lang w:val="en-US" w:eastAsia="en-US" w:bidi="en-US"/>
      </w:rPr>
    </w:lvl>
    <w:lvl w:ilvl="7" w:tplc="C1A805E0">
      <w:numFmt w:val="bullet"/>
      <w:lvlText w:val="•"/>
      <w:lvlJc w:val="left"/>
      <w:pPr>
        <w:ind w:left="7326" w:hanging="360"/>
      </w:pPr>
      <w:rPr>
        <w:rFonts w:hint="default"/>
        <w:lang w:val="en-US" w:eastAsia="en-US" w:bidi="en-US"/>
      </w:rPr>
    </w:lvl>
    <w:lvl w:ilvl="8" w:tplc="BDD890AE">
      <w:numFmt w:val="bullet"/>
      <w:lvlText w:val="•"/>
      <w:lvlJc w:val="left"/>
      <w:pPr>
        <w:ind w:left="8351" w:hanging="360"/>
      </w:pPr>
      <w:rPr>
        <w:rFonts w:hint="default"/>
        <w:lang w:val="en-US" w:eastAsia="en-US" w:bidi="en-US"/>
      </w:rPr>
    </w:lvl>
  </w:abstractNum>
  <w:abstractNum w:abstractNumId="6" w15:restartNumberingAfterBreak="0">
    <w:nsid w:val="39356257"/>
    <w:multiLevelType w:val="hybridMultilevel"/>
    <w:tmpl w:val="D95E71C4"/>
    <w:lvl w:ilvl="0" w:tplc="F66EA17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25A9F"/>
    <w:multiLevelType w:val="hybridMultilevel"/>
    <w:tmpl w:val="B5DAE0FE"/>
    <w:lvl w:ilvl="0" w:tplc="F66EA17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8807F2"/>
    <w:multiLevelType w:val="hybridMultilevel"/>
    <w:tmpl w:val="E9F273B6"/>
    <w:lvl w:ilvl="0" w:tplc="F66EA17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3068BE"/>
    <w:multiLevelType w:val="hybridMultilevel"/>
    <w:tmpl w:val="0C92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D21B47"/>
    <w:multiLevelType w:val="hybridMultilevel"/>
    <w:tmpl w:val="4F640C16"/>
    <w:lvl w:ilvl="0" w:tplc="F66EA17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4"/>
  </w:num>
  <w:num w:numId="5">
    <w:abstractNumId w:val="10"/>
  </w:num>
  <w:num w:numId="6">
    <w:abstractNumId w:val="8"/>
  </w:num>
  <w:num w:numId="7">
    <w:abstractNumId w:val="7"/>
  </w:num>
  <w:num w:numId="8">
    <w:abstractNumId w:val="3"/>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15"/>
    <w:rsid w:val="002065A8"/>
    <w:rsid w:val="002E63F2"/>
    <w:rsid w:val="00624915"/>
    <w:rsid w:val="00970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88849"/>
  <w15:chartTrackingRefBased/>
  <w15:docId w15:val="{C952A817-DB95-4414-A333-892C7340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24915"/>
    <w:pPr>
      <w:widowControl w:val="0"/>
      <w:autoSpaceDE w:val="0"/>
      <w:autoSpaceDN w:val="0"/>
    </w:pPr>
    <w:rPr>
      <w:rFonts w:ascii="Calibri" w:eastAsia="Calibri" w:hAnsi="Calibri" w:cs="Calibri"/>
      <w:lang w:bidi="en-US"/>
    </w:rPr>
  </w:style>
  <w:style w:type="paragraph" w:styleId="Heading2">
    <w:name w:val="heading 2"/>
    <w:basedOn w:val="Normal"/>
    <w:link w:val="Heading2Char"/>
    <w:uiPriority w:val="1"/>
    <w:qFormat/>
    <w:rsid w:val="00624915"/>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24915"/>
    <w:rPr>
      <w:rFonts w:ascii="Calibri" w:eastAsia="Calibri" w:hAnsi="Calibri" w:cs="Calibri"/>
      <w:b/>
      <w:bCs/>
      <w:lang w:bidi="en-US"/>
    </w:rPr>
  </w:style>
  <w:style w:type="paragraph" w:styleId="BodyText">
    <w:name w:val="Body Text"/>
    <w:basedOn w:val="Normal"/>
    <w:link w:val="BodyTextChar"/>
    <w:uiPriority w:val="1"/>
    <w:qFormat/>
    <w:rsid w:val="00624915"/>
  </w:style>
  <w:style w:type="character" w:customStyle="1" w:styleId="BodyTextChar">
    <w:name w:val="Body Text Char"/>
    <w:basedOn w:val="DefaultParagraphFont"/>
    <w:link w:val="BodyText"/>
    <w:uiPriority w:val="1"/>
    <w:rsid w:val="00624915"/>
    <w:rPr>
      <w:rFonts w:ascii="Calibri" w:eastAsia="Calibri" w:hAnsi="Calibri" w:cs="Calibri"/>
      <w:lang w:bidi="en-US"/>
    </w:rPr>
  </w:style>
  <w:style w:type="paragraph" w:styleId="ListParagraph">
    <w:name w:val="List Paragraph"/>
    <w:basedOn w:val="Normal"/>
    <w:uiPriority w:val="1"/>
    <w:qFormat/>
    <w:rsid w:val="00624915"/>
    <w:pPr>
      <w:ind w:left="820" w:hanging="360"/>
    </w:pPr>
  </w:style>
  <w:style w:type="paragraph" w:styleId="NormalWeb">
    <w:name w:val="Normal (Web)"/>
    <w:basedOn w:val="Normal"/>
    <w:uiPriority w:val="99"/>
    <w:semiHidden/>
    <w:unhideWhenUsed/>
    <w:rsid w:val="0062491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362031">
      <w:bodyDiv w:val="1"/>
      <w:marLeft w:val="0"/>
      <w:marRight w:val="0"/>
      <w:marTop w:val="0"/>
      <w:marBottom w:val="0"/>
      <w:divBdr>
        <w:top w:val="none" w:sz="0" w:space="0" w:color="auto"/>
        <w:left w:val="none" w:sz="0" w:space="0" w:color="auto"/>
        <w:bottom w:val="none" w:sz="0" w:space="0" w:color="auto"/>
        <w:right w:val="none" w:sz="0" w:space="0" w:color="auto"/>
      </w:divBdr>
      <w:divsChild>
        <w:div w:id="1074887825">
          <w:marLeft w:val="0"/>
          <w:marRight w:val="0"/>
          <w:marTop w:val="0"/>
          <w:marBottom w:val="0"/>
          <w:divBdr>
            <w:top w:val="none" w:sz="0" w:space="0" w:color="auto"/>
            <w:left w:val="none" w:sz="0" w:space="0" w:color="auto"/>
            <w:bottom w:val="none" w:sz="0" w:space="0" w:color="auto"/>
            <w:right w:val="none" w:sz="0" w:space="0" w:color="auto"/>
          </w:divBdr>
          <w:divsChild>
            <w:div w:id="928735377">
              <w:marLeft w:val="0"/>
              <w:marRight w:val="0"/>
              <w:marTop w:val="0"/>
              <w:marBottom w:val="0"/>
              <w:divBdr>
                <w:top w:val="none" w:sz="0" w:space="0" w:color="auto"/>
                <w:left w:val="none" w:sz="0" w:space="0" w:color="auto"/>
                <w:bottom w:val="none" w:sz="0" w:space="0" w:color="auto"/>
                <w:right w:val="none" w:sz="0" w:space="0" w:color="auto"/>
              </w:divBdr>
              <w:divsChild>
                <w:div w:id="838740372">
                  <w:marLeft w:val="0"/>
                  <w:marRight w:val="0"/>
                  <w:marTop w:val="0"/>
                  <w:marBottom w:val="0"/>
                  <w:divBdr>
                    <w:top w:val="none" w:sz="0" w:space="0" w:color="auto"/>
                    <w:left w:val="none" w:sz="0" w:space="0" w:color="auto"/>
                    <w:bottom w:val="none" w:sz="0" w:space="0" w:color="auto"/>
                    <w:right w:val="none" w:sz="0" w:space="0" w:color="auto"/>
                  </w:divBdr>
                  <w:divsChild>
                    <w:div w:id="600572095">
                      <w:marLeft w:val="0"/>
                      <w:marRight w:val="0"/>
                      <w:marTop w:val="0"/>
                      <w:marBottom w:val="0"/>
                      <w:divBdr>
                        <w:top w:val="none" w:sz="0" w:space="0" w:color="auto"/>
                        <w:left w:val="none" w:sz="0" w:space="0" w:color="auto"/>
                        <w:bottom w:val="none" w:sz="0" w:space="0" w:color="auto"/>
                        <w:right w:val="none" w:sz="0" w:space="0" w:color="auto"/>
                      </w:divBdr>
                      <w:divsChild>
                        <w:div w:id="1983921267">
                          <w:marLeft w:val="0"/>
                          <w:marRight w:val="0"/>
                          <w:marTop w:val="0"/>
                          <w:marBottom w:val="0"/>
                          <w:divBdr>
                            <w:top w:val="none" w:sz="0" w:space="0" w:color="auto"/>
                            <w:left w:val="none" w:sz="0" w:space="0" w:color="auto"/>
                            <w:bottom w:val="none" w:sz="0" w:space="0" w:color="auto"/>
                            <w:right w:val="none" w:sz="0" w:space="0" w:color="auto"/>
                          </w:divBdr>
                          <w:divsChild>
                            <w:div w:id="1676348136">
                              <w:marLeft w:val="0"/>
                              <w:marRight w:val="0"/>
                              <w:marTop w:val="0"/>
                              <w:marBottom w:val="0"/>
                              <w:divBdr>
                                <w:top w:val="none" w:sz="0" w:space="0" w:color="auto"/>
                                <w:left w:val="none" w:sz="0" w:space="0" w:color="auto"/>
                                <w:bottom w:val="none" w:sz="0" w:space="0" w:color="auto"/>
                                <w:right w:val="none" w:sz="0" w:space="0" w:color="auto"/>
                              </w:divBdr>
                              <w:divsChild>
                                <w:div w:id="1253049894">
                                  <w:marLeft w:val="0"/>
                                  <w:marRight w:val="0"/>
                                  <w:marTop w:val="0"/>
                                  <w:marBottom w:val="0"/>
                                  <w:divBdr>
                                    <w:top w:val="none" w:sz="0" w:space="0" w:color="auto"/>
                                    <w:left w:val="none" w:sz="0" w:space="0" w:color="auto"/>
                                    <w:bottom w:val="none" w:sz="0" w:space="0" w:color="auto"/>
                                    <w:right w:val="none" w:sz="0" w:space="0" w:color="auto"/>
                                  </w:divBdr>
                                  <w:divsChild>
                                    <w:div w:id="415514670">
                                      <w:marLeft w:val="0"/>
                                      <w:marRight w:val="0"/>
                                      <w:marTop w:val="0"/>
                                      <w:marBottom w:val="0"/>
                                      <w:divBdr>
                                        <w:top w:val="none" w:sz="0" w:space="0" w:color="auto"/>
                                        <w:left w:val="none" w:sz="0" w:space="0" w:color="auto"/>
                                        <w:bottom w:val="none" w:sz="0" w:space="0" w:color="auto"/>
                                        <w:right w:val="none" w:sz="0" w:space="0" w:color="auto"/>
                                      </w:divBdr>
                                      <w:divsChild>
                                        <w:div w:id="853762222">
                                          <w:marLeft w:val="0"/>
                                          <w:marRight w:val="0"/>
                                          <w:marTop w:val="0"/>
                                          <w:marBottom w:val="0"/>
                                          <w:divBdr>
                                            <w:top w:val="none" w:sz="0" w:space="0" w:color="auto"/>
                                            <w:left w:val="none" w:sz="0" w:space="0" w:color="auto"/>
                                            <w:bottom w:val="none" w:sz="0" w:space="0" w:color="auto"/>
                                            <w:right w:val="none" w:sz="0" w:space="0" w:color="auto"/>
                                          </w:divBdr>
                                          <w:divsChild>
                                            <w:div w:id="911743272">
                                              <w:marLeft w:val="0"/>
                                              <w:marRight w:val="0"/>
                                              <w:marTop w:val="0"/>
                                              <w:marBottom w:val="0"/>
                                              <w:divBdr>
                                                <w:top w:val="none" w:sz="0" w:space="0" w:color="auto"/>
                                                <w:left w:val="none" w:sz="0" w:space="0" w:color="auto"/>
                                                <w:bottom w:val="none" w:sz="0" w:space="0" w:color="auto"/>
                                                <w:right w:val="none" w:sz="0" w:space="0" w:color="auto"/>
                                              </w:divBdr>
                                              <w:divsChild>
                                                <w:div w:id="13162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Putnam</dc:creator>
  <cp:keywords/>
  <dc:description/>
  <cp:lastModifiedBy>Lisa Putnam</cp:lastModifiedBy>
  <cp:revision>1</cp:revision>
  <dcterms:created xsi:type="dcterms:W3CDTF">2018-04-22T17:47:00Z</dcterms:created>
  <dcterms:modified xsi:type="dcterms:W3CDTF">2018-04-22T18:25:00Z</dcterms:modified>
</cp:coreProperties>
</file>