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337E5BB4" w:rsidR="00F71B2D" w:rsidRPr="009359EA" w:rsidRDefault="007820CC">
      <w:pPr>
        <w:rPr>
          <w:rFonts w:ascii="Calibri" w:hAnsi="Calibri"/>
          <w:b/>
          <w:sz w:val="20"/>
          <w:szCs w:val="20"/>
        </w:rPr>
      </w:pPr>
      <w:r>
        <w:rPr>
          <w:rFonts w:ascii="Calibri" w:hAnsi="Calibri"/>
          <w:b/>
          <w:sz w:val="20"/>
          <w:szCs w:val="20"/>
        </w:rPr>
        <w:t>(Tentative) Goals for 2017-18</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69EEF5B3" w:rsidR="00817160" w:rsidRPr="009359EA" w:rsidRDefault="0080494A" w:rsidP="00F74C72">
            <w:pPr>
              <w:rPr>
                <w:rFonts w:ascii="Calibri" w:hAnsi="Calibri"/>
                <w:sz w:val="16"/>
                <w:szCs w:val="18"/>
              </w:rPr>
            </w:pPr>
            <w:r>
              <w:rPr>
                <w:rFonts w:ascii="Calibri" w:hAnsi="Calibri"/>
                <w:sz w:val="16"/>
                <w:szCs w:val="18"/>
              </w:rPr>
              <w:t>X</w:t>
            </w: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7CB564FF"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Pezzuto</w:t>
            </w:r>
            <w:proofErr w:type="spellEnd"/>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59028C42" w:rsidR="00817160" w:rsidRPr="009359EA" w:rsidRDefault="0080494A"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6D7FE5FD" w:rsidR="00817160" w:rsidRPr="009359EA" w:rsidRDefault="0080494A"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447E4BAF" w:rsidR="00817160" w:rsidRPr="009359EA" w:rsidRDefault="0080494A"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3C2A4AFF" w:rsidR="00817160" w:rsidRPr="009359EA" w:rsidRDefault="0080494A"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5EA715F1" w:rsidR="00817160" w:rsidRPr="009359EA" w:rsidRDefault="0080494A"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4643A3AD"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r>
              <w:rPr>
                <w:rFonts w:ascii="Calibri" w:hAnsi="Calibri"/>
                <w:sz w:val="16"/>
                <w:szCs w:val="18"/>
              </w:rPr>
              <w:t xml:space="preserve">/Susan </w:t>
            </w:r>
            <w:proofErr w:type="spellStart"/>
            <w:r>
              <w:rPr>
                <w:rFonts w:ascii="Calibri" w:hAnsi="Calibri"/>
                <w:sz w:val="16"/>
                <w:szCs w:val="18"/>
              </w:rPr>
              <w:t>Kinkella</w:t>
            </w:r>
            <w:proofErr w:type="spellEnd"/>
          </w:p>
        </w:tc>
        <w:tc>
          <w:tcPr>
            <w:tcW w:w="727" w:type="dxa"/>
            <w:shd w:val="clear" w:color="auto" w:fill="auto"/>
            <w:vAlign w:val="center"/>
          </w:tcPr>
          <w:p w14:paraId="160D710D" w14:textId="51CB9CA9" w:rsidR="00817160" w:rsidRPr="009359EA" w:rsidRDefault="0080494A" w:rsidP="00F74C72">
            <w:pPr>
              <w:rPr>
                <w:rFonts w:ascii="Calibri" w:hAnsi="Calibri" w:cs="Arial"/>
                <w:sz w:val="16"/>
                <w:szCs w:val="18"/>
              </w:rPr>
            </w:pPr>
            <w:r>
              <w:rPr>
                <w:rFonts w:ascii="Calibri" w:hAnsi="Calibri" w:cs="Arial"/>
                <w:sz w:val="16"/>
                <w:szCs w:val="18"/>
              </w:rPr>
              <w:t>LB</w:t>
            </w: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692DB375" w:rsidR="00817160" w:rsidRPr="009359EA" w:rsidRDefault="0080494A"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68F915CF" w:rsidR="00817160" w:rsidRPr="009359EA" w:rsidRDefault="00121A91"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780AC5EF" w:rsidR="00817160" w:rsidRPr="009359EA" w:rsidRDefault="0080494A"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194A78A2" w:rsidR="00817160" w:rsidRPr="009359EA" w:rsidRDefault="0080494A"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051291C8" w:rsidR="00817160" w:rsidRPr="009359EA" w:rsidRDefault="00817160" w:rsidP="00F74C72">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08EFF15A" w:rsidR="00817160" w:rsidRPr="009359EA" w:rsidRDefault="0080494A"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4671F93C" w:rsidR="00817160" w:rsidRPr="009359EA" w:rsidRDefault="0080494A" w:rsidP="00F74C72">
            <w:pPr>
              <w:rPr>
                <w:rFonts w:ascii="Calibri" w:hAnsi="Calibri"/>
                <w:sz w:val="16"/>
                <w:szCs w:val="18"/>
              </w:rPr>
            </w:pPr>
            <w:r>
              <w:rPr>
                <w:rFonts w:ascii="Calibri" w:hAnsi="Calibri"/>
                <w:sz w:val="16"/>
                <w:szCs w:val="18"/>
              </w:rPr>
              <w:t>Institutional Effectiveness</w:t>
            </w:r>
          </w:p>
        </w:tc>
        <w:tc>
          <w:tcPr>
            <w:tcW w:w="1534" w:type="dxa"/>
            <w:shd w:val="clear" w:color="auto" w:fill="auto"/>
            <w:vAlign w:val="center"/>
          </w:tcPr>
          <w:p w14:paraId="344BFBC2" w14:textId="311F837A" w:rsidR="00817160" w:rsidRPr="009359EA" w:rsidRDefault="00817160" w:rsidP="00247149">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2060F07" w14:textId="4B01A248" w:rsidR="00817160" w:rsidRPr="009359EA" w:rsidRDefault="0080494A"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56DA4280" w:rsidR="00817160" w:rsidRPr="009359EA" w:rsidRDefault="00817160" w:rsidP="00F74C72">
            <w:pPr>
              <w:rPr>
                <w:rFonts w:ascii="Calibri" w:hAnsi="Calibri"/>
                <w:sz w:val="16"/>
                <w:szCs w:val="18"/>
              </w:rPr>
            </w:pPr>
            <w:r>
              <w:rPr>
                <w:rFonts w:ascii="Calibri" w:hAnsi="Calibri"/>
                <w:sz w:val="16"/>
                <w:szCs w:val="18"/>
              </w:rPr>
              <w:t>Norm Marten</w:t>
            </w:r>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0B45F3B0" w:rsidR="00817160" w:rsidRPr="009359EA" w:rsidRDefault="0080494A"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0F54D50F" w:rsidR="00817160" w:rsidRPr="009359EA" w:rsidRDefault="0080494A" w:rsidP="00F74C72">
            <w:pPr>
              <w:rPr>
                <w:rFonts w:ascii="Calibri" w:hAnsi="Calibri"/>
                <w:sz w:val="16"/>
                <w:szCs w:val="18"/>
              </w:rPr>
            </w:pPr>
            <w:r>
              <w:rPr>
                <w:rFonts w:ascii="Calibri" w:hAnsi="Calibri"/>
                <w:sz w:val="16"/>
                <w:szCs w:val="18"/>
              </w:rPr>
              <w:t>X</w:t>
            </w: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6539A87" w:rsidR="00817160" w:rsidRPr="009359EA" w:rsidRDefault="00121A91"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48975A31" w:rsidR="00817160" w:rsidRPr="009359EA" w:rsidRDefault="00817160"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6FD6602D" w14:textId="005C1E0A" w:rsidR="00817160" w:rsidRPr="009359EA" w:rsidRDefault="00121A91" w:rsidP="00F74C72">
            <w:pPr>
              <w:rPr>
                <w:rFonts w:ascii="Calibri" w:hAnsi="Calibri"/>
                <w:sz w:val="16"/>
                <w:szCs w:val="18"/>
              </w:rPr>
            </w:pPr>
            <w:r>
              <w:rPr>
                <w:rFonts w:ascii="Calibri" w:hAnsi="Calibri"/>
                <w:sz w:val="16"/>
                <w:szCs w:val="18"/>
              </w:rPr>
              <w:t>X</w:t>
            </w: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50586386" w:rsidR="00817160" w:rsidRPr="009359EA" w:rsidRDefault="0080494A"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0FE96C64" w:rsidR="00817160" w:rsidRPr="009359EA" w:rsidRDefault="0080494A" w:rsidP="00F74C72">
            <w:pPr>
              <w:rPr>
                <w:rFonts w:ascii="Calibri" w:hAnsi="Calibri" w:cs="Arial"/>
                <w:sz w:val="16"/>
                <w:szCs w:val="18"/>
              </w:rPr>
            </w:pPr>
            <w:r>
              <w:rPr>
                <w:rFonts w:ascii="Calibri" w:hAnsi="Calibri" w:cs="Arial"/>
                <w:sz w:val="16"/>
                <w:szCs w:val="18"/>
              </w:rPr>
              <w:t xml:space="preserve">James </w:t>
            </w:r>
            <w:proofErr w:type="spellStart"/>
            <w:r>
              <w:rPr>
                <w:rFonts w:ascii="Calibri" w:hAnsi="Calibri" w:cs="Arial"/>
                <w:sz w:val="16"/>
                <w:szCs w:val="18"/>
              </w:rPr>
              <w:t>Shuelke</w:t>
            </w:r>
            <w:proofErr w:type="spellEnd"/>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428A3351" w:rsidR="00817160" w:rsidRPr="009359EA" w:rsidRDefault="00817160"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037A33A4" w14:textId="1D733E67" w:rsidR="00817160" w:rsidRPr="009359EA" w:rsidRDefault="0080494A"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4439BEA5" w:rsidR="00817160" w:rsidRPr="009359EA" w:rsidRDefault="00121A91"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6509CE3C" w:rsidR="00817160" w:rsidRPr="009359EA" w:rsidRDefault="00121A91"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05075A9B" w:rsidR="00C6283E" w:rsidRPr="003E27B6" w:rsidRDefault="00C6283E" w:rsidP="00EB22E8">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EB22E8">
              <w:rPr>
                <w:rFonts w:ascii="Calibri" w:hAnsi="Calibri" w:cs="Verdana"/>
                <w:sz w:val="20"/>
                <w:szCs w:val="20"/>
              </w:rPr>
              <w:t>February 27</w:t>
            </w:r>
            <w:r w:rsidR="00EB22E8" w:rsidRPr="00EB22E8">
              <w:rPr>
                <w:rFonts w:ascii="Calibri" w:hAnsi="Calibri" w:cs="Verdana"/>
                <w:sz w:val="20"/>
                <w:szCs w:val="20"/>
                <w:vertAlign w:val="superscript"/>
              </w:rPr>
              <w:t>th</w:t>
            </w:r>
            <w:r w:rsidR="00EB22E8">
              <w:rPr>
                <w:rFonts w:ascii="Calibri" w:hAnsi="Calibri" w:cs="Verdana"/>
                <w:sz w:val="20"/>
                <w:szCs w:val="20"/>
              </w:rPr>
              <w:t>,</w:t>
            </w:r>
            <w:r w:rsidR="00D30662">
              <w:rPr>
                <w:rFonts w:ascii="Calibri" w:hAnsi="Calibri" w:cs="Verdana"/>
                <w:sz w:val="20"/>
                <w:szCs w:val="20"/>
              </w:rPr>
              <w:t xml:space="preserve"> 2018</w:t>
            </w:r>
          </w:p>
        </w:tc>
        <w:tc>
          <w:tcPr>
            <w:tcW w:w="1950" w:type="pct"/>
          </w:tcPr>
          <w:p w14:paraId="2C98C84F" w14:textId="20A1498E" w:rsidR="00C6283E" w:rsidRPr="009359EA" w:rsidRDefault="00AA36A3" w:rsidP="00D64F4D">
            <w:pPr>
              <w:rPr>
                <w:rFonts w:ascii="Calibri" w:hAnsi="Calibri"/>
                <w:sz w:val="20"/>
                <w:szCs w:val="20"/>
              </w:rPr>
            </w:pPr>
            <w:r>
              <w:rPr>
                <w:rFonts w:ascii="Calibri" w:hAnsi="Calibri"/>
                <w:sz w:val="20"/>
                <w:szCs w:val="20"/>
              </w:rPr>
              <w:t xml:space="preserve">Minutes approved: </w:t>
            </w:r>
            <w:r w:rsidR="0080494A">
              <w:rPr>
                <w:rFonts w:ascii="Calibri" w:hAnsi="Calibri"/>
                <w:sz w:val="20"/>
                <w:szCs w:val="20"/>
              </w:rPr>
              <w:t>Rolland moved, Rob seconded.</w:t>
            </w:r>
            <w:r>
              <w:rPr>
                <w:rFonts w:ascii="Calibri" w:hAnsi="Calibri"/>
                <w:sz w:val="20"/>
                <w:szCs w:val="20"/>
              </w:rPr>
              <w:t xml:space="preserve">  Sydney abstained.</w:t>
            </w: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819F363" w14:textId="2CCE9872" w:rsidR="00227BC3" w:rsidRDefault="00227BC3"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Grants in Program Plan template</w:t>
            </w:r>
          </w:p>
          <w:p w14:paraId="2851889C" w14:textId="56AA59B0" w:rsidR="00341511" w:rsidRPr="00341511" w:rsidRDefault="00D65EB4"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ACCJC set standards </w:t>
            </w:r>
          </w:p>
        </w:tc>
        <w:tc>
          <w:tcPr>
            <w:tcW w:w="1950" w:type="pct"/>
          </w:tcPr>
          <w:p w14:paraId="7D276828" w14:textId="1BD2A2FC" w:rsidR="00157345" w:rsidRDefault="00AA36A3" w:rsidP="00AA36A3">
            <w:pPr>
              <w:pStyle w:val="ListParagraph"/>
              <w:numPr>
                <w:ilvl w:val="0"/>
                <w:numId w:val="27"/>
              </w:numPr>
              <w:rPr>
                <w:rFonts w:asciiTheme="majorHAnsi" w:hAnsiTheme="majorHAnsi"/>
                <w:sz w:val="20"/>
                <w:szCs w:val="20"/>
              </w:rPr>
            </w:pPr>
            <w:r>
              <w:rPr>
                <w:rFonts w:asciiTheme="majorHAnsi" w:hAnsiTheme="majorHAnsi"/>
                <w:sz w:val="20"/>
                <w:szCs w:val="20"/>
              </w:rPr>
              <w:t xml:space="preserve">James: </w:t>
            </w:r>
            <w:r w:rsidRPr="00AA36A3">
              <w:rPr>
                <w:rFonts w:asciiTheme="majorHAnsi" w:hAnsiTheme="majorHAnsi"/>
                <w:sz w:val="20"/>
                <w:szCs w:val="20"/>
              </w:rPr>
              <w:t>Streamlining efforts by which we identify grants.  The college sometimes struggles identifying grants, or feel ‘late’ in the proc</w:t>
            </w:r>
            <w:r>
              <w:rPr>
                <w:rFonts w:asciiTheme="majorHAnsi" w:hAnsiTheme="majorHAnsi"/>
                <w:sz w:val="20"/>
                <w:szCs w:val="20"/>
              </w:rPr>
              <w:t xml:space="preserve">ess for grants once identified.  One idea is to add a component in </w:t>
            </w:r>
            <w:proofErr w:type="spellStart"/>
            <w:r>
              <w:rPr>
                <w:rFonts w:asciiTheme="majorHAnsi" w:hAnsiTheme="majorHAnsi"/>
                <w:sz w:val="20"/>
                <w:szCs w:val="20"/>
              </w:rPr>
              <w:t>TracDat</w:t>
            </w:r>
            <w:proofErr w:type="spellEnd"/>
            <w:r>
              <w:rPr>
                <w:rFonts w:asciiTheme="majorHAnsi" w:hAnsiTheme="majorHAnsi"/>
                <w:sz w:val="20"/>
                <w:szCs w:val="20"/>
              </w:rPr>
              <w:t xml:space="preserve"> for the Program Plan (PP) review process that allows faculty to tie specific requests to a grant.  This would be optional.  </w:t>
            </w:r>
          </w:p>
          <w:p w14:paraId="7AC36C85" w14:textId="3C95F928" w:rsidR="00AA36A3" w:rsidRDefault="00AA36A3" w:rsidP="00AA36A3">
            <w:pPr>
              <w:pStyle w:val="ListParagraph"/>
              <w:ind w:left="691"/>
              <w:rPr>
                <w:rFonts w:asciiTheme="majorHAnsi" w:hAnsiTheme="majorHAnsi"/>
                <w:sz w:val="20"/>
                <w:szCs w:val="20"/>
              </w:rPr>
            </w:pPr>
            <w:r>
              <w:rPr>
                <w:rFonts w:asciiTheme="majorHAnsi" w:hAnsiTheme="majorHAnsi"/>
                <w:sz w:val="20"/>
                <w:szCs w:val="20"/>
              </w:rPr>
              <w:br/>
              <w:t xml:space="preserve">Carol: there is a current dropdown for specifying funding sources for resource requests. This would be a way to create an optional field to allow faculty to notify grants office of grants within the discipline.  </w:t>
            </w:r>
          </w:p>
          <w:p w14:paraId="36271564" w14:textId="77777777" w:rsidR="00AA36A3" w:rsidRDefault="00AA36A3" w:rsidP="00AA36A3">
            <w:pPr>
              <w:pStyle w:val="ListParagraph"/>
              <w:ind w:left="691"/>
              <w:rPr>
                <w:rFonts w:asciiTheme="majorHAnsi" w:hAnsiTheme="majorHAnsi"/>
                <w:sz w:val="20"/>
                <w:szCs w:val="20"/>
              </w:rPr>
            </w:pPr>
          </w:p>
          <w:p w14:paraId="146C6689" w14:textId="1634B523" w:rsidR="00AA36A3" w:rsidRDefault="00AA36A3" w:rsidP="00AA36A3">
            <w:pPr>
              <w:pStyle w:val="ListParagraph"/>
              <w:ind w:left="691"/>
              <w:rPr>
                <w:rFonts w:asciiTheme="majorHAnsi" w:hAnsiTheme="majorHAnsi"/>
                <w:sz w:val="20"/>
                <w:szCs w:val="20"/>
              </w:rPr>
            </w:pPr>
            <w:r>
              <w:rPr>
                <w:rFonts w:asciiTheme="majorHAnsi" w:hAnsiTheme="majorHAnsi"/>
                <w:sz w:val="20"/>
                <w:szCs w:val="20"/>
              </w:rPr>
              <w:t>Mary: it sounds like a great idea.  CTE group is also looking to link plans and grants with an application for Strong Workforce and Perkins linked wit</w:t>
            </w:r>
            <w:r w:rsidR="00C14707">
              <w:rPr>
                <w:rFonts w:asciiTheme="majorHAnsi" w:hAnsiTheme="majorHAnsi"/>
                <w:sz w:val="20"/>
                <w:szCs w:val="20"/>
              </w:rPr>
              <w:t>h PPs.  The application still needs to be flushed out, but this can likewise streamline efforts.</w:t>
            </w:r>
          </w:p>
          <w:p w14:paraId="11FE08E9" w14:textId="77777777" w:rsidR="00AA36A3" w:rsidRDefault="00AA36A3" w:rsidP="00AA36A3">
            <w:pPr>
              <w:pStyle w:val="ListParagraph"/>
              <w:ind w:left="691"/>
              <w:rPr>
                <w:rFonts w:asciiTheme="majorHAnsi" w:hAnsiTheme="majorHAnsi"/>
                <w:sz w:val="20"/>
                <w:szCs w:val="20"/>
              </w:rPr>
            </w:pPr>
          </w:p>
          <w:p w14:paraId="16649428" w14:textId="278CE11D" w:rsidR="00AA36A3" w:rsidRDefault="00AA36A3" w:rsidP="00AA36A3">
            <w:pPr>
              <w:pStyle w:val="ListParagraph"/>
              <w:ind w:left="691"/>
              <w:rPr>
                <w:rFonts w:asciiTheme="majorHAnsi" w:hAnsiTheme="majorHAnsi"/>
                <w:sz w:val="20"/>
                <w:szCs w:val="20"/>
              </w:rPr>
            </w:pPr>
            <w:r>
              <w:rPr>
                <w:rFonts w:asciiTheme="majorHAnsi" w:hAnsiTheme="majorHAnsi"/>
                <w:sz w:val="20"/>
                <w:szCs w:val="20"/>
              </w:rPr>
              <w:t>Rolland: If someone clicks on the grant field, is there a dropdown menu to identify the kinds of grants?  Answer: no – a blank box is there for faculty to send info about discipline-</w:t>
            </w:r>
            <w:proofErr w:type="gramStart"/>
            <w:r>
              <w:rPr>
                <w:rFonts w:asciiTheme="majorHAnsi" w:hAnsiTheme="majorHAnsi"/>
                <w:sz w:val="20"/>
                <w:szCs w:val="20"/>
              </w:rPr>
              <w:t>specific .</w:t>
            </w:r>
            <w:proofErr w:type="gramEnd"/>
            <w:r>
              <w:rPr>
                <w:rFonts w:asciiTheme="majorHAnsi" w:hAnsiTheme="majorHAnsi"/>
                <w:sz w:val="20"/>
                <w:szCs w:val="20"/>
              </w:rPr>
              <w:t xml:space="preserve">  Is there a way to specify ‘existing grant’ or ‘possible grant’?  Julius: we should have a </w:t>
            </w:r>
            <w:r w:rsidR="00C14707">
              <w:rPr>
                <w:rFonts w:asciiTheme="majorHAnsi" w:hAnsiTheme="majorHAnsi"/>
                <w:sz w:val="20"/>
                <w:szCs w:val="20"/>
              </w:rPr>
              <w:t xml:space="preserve">larger </w:t>
            </w:r>
            <w:r>
              <w:rPr>
                <w:rFonts w:asciiTheme="majorHAnsi" w:hAnsiTheme="majorHAnsi"/>
                <w:sz w:val="20"/>
                <w:szCs w:val="20"/>
              </w:rPr>
              <w:lastRenderedPageBreak/>
              <w:t>c</w:t>
            </w:r>
            <w:r w:rsidR="00C14707">
              <w:rPr>
                <w:rFonts w:asciiTheme="majorHAnsi" w:hAnsiTheme="majorHAnsi"/>
                <w:sz w:val="20"/>
                <w:szCs w:val="20"/>
              </w:rPr>
              <w:t>onversation about grants within our funding structures.</w:t>
            </w:r>
          </w:p>
          <w:p w14:paraId="3A6F0531" w14:textId="77777777" w:rsidR="003F5318" w:rsidRDefault="003F5318" w:rsidP="00AA36A3">
            <w:pPr>
              <w:pStyle w:val="ListParagraph"/>
              <w:ind w:left="691"/>
              <w:rPr>
                <w:rFonts w:asciiTheme="majorHAnsi" w:hAnsiTheme="majorHAnsi"/>
                <w:sz w:val="20"/>
                <w:szCs w:val="20"/>
              </w:rPr>
            </w:pPr>
          </w:p>
          <w:p w14:paraId="494FF496" w14:textId="271FCF07" w:rsidR="003F5318" w:rsidRPr="00C14707" w:rsidRDefault="003F5318" w:rsidP="00C14707">
            <w:pPr>
              <w:pStyle w:val="ListParagraph"/>
              <w:ind w:left="691"/>
              <w:rPr>
                <w:rFonts w:asciiTheme="majorHAnsi" w:hAnsiTheme="majorHAnsi"/>
                <w:sz w:val="20"/>
                <w:szCs w:val="20"/>
              </w:rPr>
            </w:pPr>
            <w:r>
              <w:rPr>
                <w:rFonts w:asciiTheme="majorHAnsi" w:hAnsiTheme="majorHAnsi"/>
                <w:sz w:val="20"/>
                <w:szCs w:val="20"/>
              </w:rPr>
              <w:t xml:space="preserve">Silva: is there a way for faculty to be informed of grants?  Answer: James will continue to visit and learn of needs of disciplines.  Long-term, </w:t>
            </w:r>
            <w:r w:rsidR="00C14707">
              <w:rPr>
                <w:rFonts w:asciiTheme="majorHAnsi" w:hAnsiTheme="majorHAnsi"/>
                <w:sz w:val="20"/>
                <w:szCs w:val="20"/>
              </w:rPr>
              <w:t>as the grants office becomes more developed, we can establish this kind of information exchange.</w:t>
            </w:r>
            <w:r w:rsidRPr="00C14707">
              <w:rPr>
                <w:rFonts w:asciiTheme="majorHAnsi" w:hAnsiTheme="majorHAnsi"/>
                <w:sz w:val="20"/>
                <w:szCs w:val="20"/>
              </w:rPr>
              <w:br/>
            </w:r>
          </w:p>
          <w:p w14:paraId="438E20A9" w14:textId="53F52433" w:rsidR="00C14707" w:rsidRDefault="003F5318" w:rsidP="00C14707">
            <w:pPr>
              <w:pStyle w:val="ListParagraph"/>
              <w:numPr>
                <w:ilvl w:val="0"/>
                <w:numId w:val="27"/>
              </w:numPr>
              <w:rPr>
                <w:rFonts w:asciiTheme="majorHAnsi" w:hAnsiTheme="majorHAnsi"/>
                <w:sz w:val="20"/>
                <w:szCs w:val="20"/>
              </w:rPr>
            </w:pPr>
            <w:r>
              <w:rPr>
                <w:rFonts w:asciiTheme="majorHAnsi" w:hAnsiTheme="majorHAnsi"/>
                <w:sz w:val="20"/>
                <w:szCs w:val="20"/>
              </w:rPr>
              <w:t xml:space="preserve">Julius: ACCJC Standards Annual Report includes our Institution Set Standards.  This is just one part of the report.  We have achievement report, SLO </w:t>
            </w:r>
            <w:r w:rsidR="00971A18">
              <w:rPr>
                <w:rFonts w:asciiTheme="majorHAnsi" w:hAnsiTheme="majorHAnsi"/>
                <w:sz w:val="20"/>
                <w:szCs w:val="20"/>
              </w:rPr>
              <w:t>assessment</w:t>
            </w:r>
            <w:r>
              <w:rPr>
                <w:rFonts w:asciiTheme="majorHAnsi" w:hAnsiTheme="majorHAnsi"/>
                <w:sz w:val="20"/>
                <w:szCs w:val="20"/>
              </w:rPr>
              <w:t xml:space="preserve">, </w:t>
            </w:r>
            <w:proofErr w:type="gramStart"/>
            <w:r>
              <w:rPr>
                <w:rFonts w:asciiTheme="majorHAnsi" w:hAnsiTheme="majorHAnsi"/>
                <w:sz w:val="20"/>
                <w:szCs w:val="20"/>
              </w:rPr>
              <w:t>various</w:t>
            </w:r>
            <w:proofErr w:type="gramEnd"/>
            <w:r>
              <w:rPr>
                <w:rFonts w:asciiTheme="majorHAnsi" w:hAnsiTheme="majorHAnsi"/>
                <w:sz w:val="20"/>
                <w:szCs w:val="20"/>
              </w:rPr>
              <w:t xml:space="preserve"> info about our programs, headcount.  As we set standards, this is an attempt for us to determine goals and benchmarks to work toward.  </w:t>
            </w:r>
            <w:r>
              <w:rPr>
                <w:rFonts w:asciiTheme="majorHAnsi" w:hAnsiTheme="majorHAnsi"/>
                <w:sz w:val="20"/>
                <w:szCs w:val="20"/>
              </w:rPr>
              <w:br/>
            </w:r>
            <w:r>
              <w:rPr>
                <w:rFonts w:asciiTheme="majorHAnsi" w:hAnsiTheme="majorHAnsi"/>
                <w:sz w:val="20"/>
                <w:szCs w:val="20"/>
              </w:rPr>
              <w:br/>
              <w:t xml:space="preserve">Carol: all the data was obtained through CCCCO </w:t>
            </w:r>
            <w:proofErr w:type="spellStart"/>
            <w:r>
              <w:rPr>
                <w:rFonts w:asciiTheme="majorHAnsi" w:hAnsiTheme="majorHAnsi"/>
                <w:sz w:val="20"/>
                <w:szCs w:val="20"/>
              </w:rPr>
              <w:t>Datamart</w:t>
            </w:r>
            <w:proofErr w:type="spellEnd"/>
            <w:r>
              <w:rPr>
                <w:rFonts w:asciiTheme="majorHAnsi" w:hAnsiTheme="majorHAnsi"/>
                <w:sz w:val="20"/>
                <w:szCs w:val="20"/>
              </w:rPr>
              <w:t>.  The percentages were identified for 2016-17 year was looking at the annual successful completion data.  A through C grades, as well as pass.  We are above our goal.</w:t>
            </w:r>
            <w:r>
              <w:rPr>
                <w:rFonts w:asciiTheme="majorHAnsi" w:hAnsiTheme="majorHAnsi"/>
                <w:sz w:val="20"/>
                <w:szCs w:val="20"/>
              </w:rPr>
              <w:br/>
            </w:r>
            <w:r>
              <w:rPr>
                <w:rFonts w:asciiTheme="majorHAnsi" w:hAnsiTheme="majorHAnsi"/>
                <w:sz w:val="20"/>
                <w:szCs w:val="20"/>
              </w:rPr>
              <w:br/>
              <w:t xml:space="preserve">We are exceeding our goal for both Annual Completion of degrees and also Annual Completion of Certificates.  The Annual Numbers of students who transfer to 4-year institutions is tricky to obtain, since </w:t>
            </w:r>
            <w:proofErr w:type="spellStart"/>
            <w:r>
              <w:rPr>
                <w:rFonts w:asciiTheme="majorHAnsi" w:hAnsiTheme="majorHAnsi"/>
                <w:sz w:val="20"/>
                <w:szCs w:val="20"/>
              </w:rPr>
              <w:t>Datamart</w:t>
            </w:r>
            <w:proofErr w:type="spellEnd"/>
            <w:r>
              <w:rPr>
                <w:rFonts w:asciiTheme="majorHAnsi" w:hAnsiTheme="majorHAnsi"/>
                <w:sz w:val="20"/>
                <w:szCs w:val="20"/>
              </w:rPr>
              <w:t xml:space="preserve"> did not provide info on UCs.  We obtained that through a different source.  We looked at </w:t>
            </w:r>
            <w:proofErr w:type="gramStart"/>
            <w:r>
              <w:rPr>
                <w:rFonts w:asciiTheme="majorHAnsi" w:hAnsiTheme="majorHAnsi"/>
                <w:sz w:val="20"/>
                <w:szCs w:val="20"/>
              </w:rPr>
              <w:t>in-state</w:t>
            </w:r>
            <w:proofErr w:type="gramEnd"/>
            <w:r>
              <w:rPr>
                <w:rFonts w:asciiTheme="majorHAnsi" w:hAnsiTheme="majorHAnsi"/>
                <w:sz w:val="20"/>
                <w:szCs w:val="20"/>
              </w:rPr>
              <w:t xml:space="preserve">, private, UC and CSU.  </w:t>
            </w:r>
            <w:r w:rsidR="00C14707">
              <w:rPr>
                <w:rFonts w:asciiTheme="majorHAnsi" w:hAnsiTheme="majorHAnsi"/>
                <w:sz w:val="20"/>
                <w:szCs w:val="20"/>
              </w:rPr>
              <w:t xml:space="preserve">This is not a cohort model.  The cohort is the intent of a realistic picture.  The method of calculating is different from each year.  We actually have </w:t>
            </w:r>
            <w:proofErr w:type="gramStart"/>
            <w:r w:rsidR="00C14707">
              <w:rPr>
                <w:rFonts w:asciiTheme="majorHAnsi" w:hAnsiTheme="majorHAnsi"/>
                <w:sz w:val="20"/>
                <w:szCs w:val="20"/>
              </w:rPr>
              <w:t xml:space="preserve">less </w:t>
            </w:r>
            <w:r w:rsidR="00C14707">
              <w:rPr>
                <w:rFonts w:asciiTheme="majorHAnsi" w:hAnsiTheme="majorHAnsi"/>
                <w:sz w:val="20"/>
                <w:szCs w:val="20"/>
              </w:rPr>
              <w:lastRenderedPageBreak/>
              <w:t>transf</w:t>
            </w:r>
            <w:r w:rsidR="00971A18">
              <w:rPr>
                <w:rFonts w:asciiTheme="majorHAnsi" w:hAnsiTheme="majorHAnsi"/>
                <w:sz w:val="20"/>
                <w:szCs w:val="20"/>
              </w:rPr>
              <w:t>ers</w:t>
            </w:r>
            <w:proofErr w:type="gramEnd"/>
            <w:r w:rsidR="00971A18">
              <w:rPr>
                <w:rFonts w:asciiTheme="majorHAnsi" w:hAnsiTheme="majorHAnsi"/>
                <w:sz w:val="20"/>
                <w:szCs w:val="20"/>
              </w:rPr>
              <w:t xml:space="preserve"> than in the past few years.</w:t>
            </w:r>
            <w:bookmarkStart w:id="0" w:name="_GoBack"/>
            <w:bookmarkEnd w:id="0"/>
            <w:r w:rsidR="00C14707">
              <w:rPr>
                <w:rFonts w:asciiTheme="majorHAnsi" w:hAnsiTheme="majorHAnsi"/>
                <w:sz w:val="20"/>
                <w:szCs w:val="20"/>
              </w:rPr>
              <w:br/>
            </w:r>
            <w:r w:rsidR="00C14707">
              <w:rPr>
                <w:rFonts w:asciiTheme="majorHAnsi" w:hAnsiTheme="majorHAnsi"/>
                <w:sz w:val="20"/>
                <w:szCs w:val="20"/>
              </w:rPr>
              <w:br/>
              <w:t>Rolland: why do numbers balloon for degrees in 2015-16 and 16-17, far exceeding the number of transfer students?  This looks like a different trend from years past, where transfers outweigh degrees.  Answer: could be counseling and departments are encouraging students to complete multiple certs and degrees.</w:t>
            </w:r>
            <w:r w:rsidR="00C14707">
              <w:rPr>
                <w:rFonts w:asciiTheme="majorHAnsi" w:hAnsiTheme="majorHAnsi"/>
                <w:sz w:val="20"/>
                <w:szCs w:val="20"/>
              </w:rPr>
              <w:br/>
            </w:r>
            <w:r w:rsidR="00C14707">
              <w:rPr>
                <w:rFonts w:asciiTheme="majorHAnsi" w:hAnsiTheme="majorHAnsi"/>
                <w:sz w:val="20"/>
                <w:szCs w:val="20"/>
              </w:rPr>
              <w:br/>
              <w:t xml:space="preserve">Mary: this is an indication that we need additional information, since these numbers don’t tell us the whole story.  </w:t>
            </w:r>
          </w:p>
          <w:p w14:paraId="7F15AE51" w14:textId="77777777" w:rsidR="00C14707" w:rsidRDefault="00C14707" w:rsidP="00C14707">
            <w:pPr>
              <w:pStyle w:val="ListParagraph"/>
              <w:ind w:left="691"/>
              <w:rPr>
                <w:rFonts w:asciiTheme="majorHAnsi" w:hAnsiTheme="majorHAnsi"/>
                <w:sz w:val="20"/>
                <w:szCs w:val="20"/>
              </w:rPr>
            </w:pPr>
            <w:r>
              <w:rPr>
                <w:rFonts w:asciiTheme="majorHAnsi" w:hAnsiTheme="majorHAnsi"/>
                <w:sz w:val="20"/>
                <w:szCs w:val="20"/>
              </w:rPr>
              <w:br/>
              <w:t xml:space="preserve">Jennifer: </w:t>
            </w:r>
            <w:r w:rsidRPr="00C14707">
              <w:rPr>
                <w:rFonts w:asciiTheme="majorHAnsi" w:hAnsiTheme="majorHAnsi"/>
                <w:sz w:val="20"/>
                <w:szCs w:val="20"/>
              </w:rPr>
              <w:t xml:space="preserve">Our number of degrees or transfers may decline but if our population decreases, then it could be a case that our percentage relative to the population actually increased.  </w:t>
            </w:r>
          </w:p>
          <w:p w14:paraId="5AF29F10" w14:textId="69502272" w:rsidR="00C14707" w:rsidRPr="00C14707" w:rsidRDefault="00C14707" w:rsidP="00F424A6">
            <w:pPr>
              <w:pStyle w:val="ListParagraph"/>
              <w:ind w:left="691"/>
              <w:rPr>
                <w:rFonts w:asciiTheme="majorHAnsi" w:hAnsiTheme="majorHAnsi"/>
                <w:sz w:val="20"/>
                <w:szCs w:val="20"/>
              </w:rPr>
            </w:pPr>
            <w:r>
              <w:rPr>
                <w:rFonts w:asciiTheme="majorHAnsi" w:hAnsiTheme="majorHAnsi"/>
                <w:sz w:val="20"/>
                <w:szCs w:val="20"/>
              </w:rPr>
              <w:br/>
            </w:r>
            <w:proofErr w:type="spellStart"/>
            <w:r>
              <w:rPr>
                <w:rFonts w:asciiTheme="majorHAnsi" w:hAnsiTheme="majorHAnsi"/>
                <w:sz w:val="20"/>
                <w:szCs w:val="20"/>
              </w:rPr>
              <w:t>Nenagh</w:t>
            </w:r>
            <w:proofErr w:type="spellEnd"/>
            <w:r>
              <w:rPr>
                <w:rFonts w:asciiTheme="majorHAnsi" w:hAnsiTheme="majorHAnsi"/>
                <w:sz w:val="20"/>
                <w:szCs w:val="20"/>
              </w:rPr>
              <w:t xml:space="preserve">: If you look at the two right-hand columns (short-term goal for 2015-16 and Long-term goal 6-years), we are not looking at these this year because the IEPI changes </w:t>
            </w:r>
            <w:r w:rsidR="00F424A6">
              <w:rPr>
                <w:rFonts w:asciiTheme="majorHAnsi" w:hAnsiTheme="majorHAnsi"/>
                <w:sz w:val="20"/>
                <w:szCs w:val="20"/>
              </w:rPr>
              <w:t xml:space="preserve">from the CCCCO.  </w:t>
            </w:r>
            <w:r>
              <w:rPr>
                <w:rFonts w:asciiTheme="majorHAnsi" w:hAnsiTheme="majorHAnsi"/>
                <w:sz w:val="20"/>
                <w:szCs w:val="20"/>
              </w:rPr>
              <w:t>ACCJC wants to know bottom line, IEPI through CCCCO is asking where are the aspirational numbers?</w:t>
            </w:r>
            <w:r w:rsidR="00F424A6">
              <w:rPr>
                <w:rFonts w:asciiTheme="majorHAnsi" w:hAnsiTheme="majorHAnsi"/>
                <w:sz w:val="20"/>
                <w:szCs w:val="20"/>
              </w:rPr>
              <w:t xml:space="preserve">  We’ve had a policy of not jumping around every year.  It is remarkable that our numbers are so much higher in the 2015-18 Institution Set Standard (this raised questions from ACCJC).  </w:t>
            </w:r>
            <w:r w:rsidR="00F424A6">
              <w:rPr>
                <w:rFonts w:asciiTheme="majorHAnsi" w:hAnsiTheme="majorHAnsi"/>
                <w:sz w:val="20"/>
                <w:szCs w:val="20"/>
              </w:rPr>
              <w:br/>
            </w:r>
            <w:r w:rsidR="00F424A6">
              <w:rPr>
                <w:rFonts w:asciiTheme="majorHAnsi" w:hAnsiTheme="majorHAnsi"/>
                <w:sz w:val="20"/>
                <w:szCs w:val="20"/>
              </w:rPr>
              <w:br/>
              <w:t xml:space="preserve">Three years ago we were uncertain with ADTs rolling out.  We can pat ourselves on the back that we really did increase numbers.  The ADTs have </w:t>
            </w:r>
            <w:r w:rsidR="00F424A6">
              <w:rPr>
                <w:rFonts w:asciiTheme="majorHAnsi" w:hAnsiTheme="majorHAnsi"/>
                <w:sz w:val="20"/>
                <w:szCs w:val="20"/>
              </w:rPr>
              <w:lastRenderedPageBreak/>
              <w:t xml:space="preserve">really increased the numbers.  These are the results of curriculum decisions.  </w:t>
            </w:r>
            <w:r w:rsidR="00F424A6">
              <w:rPr>
                <w:rFonts w:asciiTheme="majorHAnsi" w:hAnsiTheme="majorHAnsi"/>
                <w:sz w:val="20"/>
                <w:szCs w:val="20"/>
              </w:rPr>
              <w:br/>
            </w:r>
            <w:r w:rsidR="00F424A6">
              <w:rPr>
                <w:rFonts w:asciiTheme="majorHAnsi" w:hAnsiTheme="majorHAnsi"/>
                <w:sz w:val="20"/>
                <w:szCs w:val="20"/>
              </w:rPr>
              <w:br/>
              <w:t>Jennifer: As we see the completers being tied to funding, this sets us up well to work within that framework.</w:t>
            </w:r>
            <w:r w:rsidR="00F424A6">
              <w:rPr>
                <w:rFonts w:asciiTheme="majorHAnsi" w:hAnsiTheme="majorHAnsi"/>
                <w:sz w:val="20"/>
                <w:szCs w:val="20"/>
              </w:rPr>
              <w:br/>
            </w:r>
            <w:r w:rsidR="00F424A6">
              <w:rPr>
                <w:rFonts w:asciiTheme="majorHAnsi" w:hAnsiTheme="majorHAnsi"/>
                <w:sz w:val="20"/>
                <w:szCs w:val="20"/>
              </w:rPr>
              <w:br/>
              <w:t xml:space="preserve">Remy: Is there a place in the catalogue that allows students to see (easily) the list of ADTs available.  Answer: p. 77.    </w:t>
            </w:r>
            <w:r w:rsidR="00F424A6">
              <w:rPr>
                <w:rFonts w:asciiTheme="majorHAnsi" w:hAnsiTheme="majorHAnsi"/>
                <w:sz w:val="20"/>
                <w:szCs w:val="20"/>
              </w:rPr>
              <w:br/>
            </w:r>
            <w:r w:rsidR="00F424A6">
              <w:rPr>
                <w:rFonts w:asciiTheme="majorHAnsi" w:hAnsiTheme="majorHAnsi"/>
                <w:sz w:val="20"/>
                <w:szCs w:val="20"/>
              </w:rPr>
              <w:br/>
              <w:t xml:space="preserve">Mary: the state has a list, but it probably doesn’t link with our website.  </w:t>
            </w:r>
            <w:r w:rsidR="00F424A6">
              <w:rPr>
                <w:rFonts w:asciiTheme="majorHAnsi" w:hAnsiTheme="majorHAnsi"/>
                <w:sz w:val="20"/>
                <w:szCs w:val="20"/>
              </w:rPr>
              <w:br/>
            </w:r>
            <w:r w:rsidR="00F424A6">
              <w:rPr>
                <w:rFonts w:asciiTheme="majorHAnsi" w:hAnsiTheme="majorHAnsi"/>
                <w:sz w:val="20"/>
                <w:szCs w:val="20"/>
              </w:rPr>
              <w:br/>
            </w:r>
          </w:p>
        </w:tc>
        <w:tc>
          <w:tcPr>
            <w:tcW w:w="1109" w:type="pct"/>
          </w:tcPr>
          <w:p w14:paraId="094E8D58" w14:textId="2BE05BC6" w:rsidR="00C6283E" w:rsidRPr="00C51FE9" w:rsidRDefault="00C6283E" w:rsidP="00C51FE9">
            <w:pPr>
              <w:pStyle w:val="ListParagraph"/>
              <w:numPr>
                <w:ilvl w:val="0"/>
                <w:numId w:val="30"/>
              </w:numPr>
              <w:rPr>
                <w:rFonts w:ascii="Calibri" w:hAnsi="Calibri"/>
                <w:sz w:val="20"/>
                <w:szCs w:val="20"/>
              </w:rPr>
            </w:pPr>
          </w:p>
          <w:p w14:paraId="25911B66" w14:textId="77777777" w:rsidR="00F424A6" w:rsidRDefault="00F424A6" w:rsidP="00D64F4D">
            <w:pPr>
              <w:rPr>
                <w:rFonts w:ascii="Calibri" w:hAnsi="Calibri"/>
                <w:sz w:val="20"/>
                <w:szCs w:val="20"/>
              </w:rPr>
            </w:pPr>
          </w:p>
          <w:p w14:paraId="4AD4D4E5" w14:textId="77777777" w:rsidR="00F424A6" w:rsidRDefault="00F424A6" w:rsidP="00D64F4D">
            <w:pPr>
              <w:rPr>
                <w:rFonts w:ascii="Calibri" w:hAnsi="Calibri"/>
                <w:sz w:val="20"/>
                <w:szCs w:val="20"/>
              </w:rPr>
            </w:pPr>
          </w:p>
          <w:p w14:paraId="61F841E9" w14:textId="77777777" w:rsidR="00F424A6" w:rsidRDefault="00F424A6" w:rsidP="00D64F4D">
            <w:pPr>
              <w:rPr>
                <w:rFonts w:ascii="Calibri" w:hAnsi="Calibri"/>
                <w:sz w:val="20"/>
                <w:szCs w:val="20"/>
              </w:rPr>
            </w:pPr>
          </w:p>
          <w:p w14:paraId="0C0576FE" w14:textId="77777777" w:rsidR="00F424A6" w:rsidRDefault="00F424A6" w:rsidP="00D64F4D">
            <w:pPr>
              <w:rPr>
                <w:rFonts w:ascii="Calibri" w:hAnsi="Calibri"/>
                <w:sz w:val="20"/>
                <w:szCs w:val="20"/>
              </w:rPr>
            </w:pPr>
          </w:p>
          <w:p w14:paraId="48B29E9A" w14:textId="77777777" w:rsidR="00F424A6" w:rsidRDefault="00F424A6" w:rsidP="00D64F4D">
            <w:pPr>
              <w:rPr>
                <w:rFonts w:ascii="Calibri" w:hAnsi="Calibri"/>
                <w:sz w:val="20"/>
                <w:szCs w:val="20"/>
              </w:rPr>
            </w:pPr>
          </w:p>
          <w:p w14:paraId="077B59DB" w14:textId="77777777" w:rsidR="00F424A6" w:rsidRDefault="00F424A6" w:rsidP="00D64F4D">
            <w:pPr>
              <w:rPr>
                <w:rFonts w:ascii="Calibri" w:hAnsi="Calibri"/>
                <w:sz w:val="20"/>
                <w:szCs w:val="20"/>
              </w:rPr>
            </w:pPr>
          </w:p>
          <w:p w14:paraId="2232ED38" w14:textId="77777777" w:rsidR="00F424A6" w:rsidRDefault="00F424A6" w:rsidP="00D64F4D">
            <w:pPr>
              <w:rPr>
                <w:rFonts w:ascii="Calibri" w:hAnsi="Calibri"/>
                <w:sz w:val="20"/>
                <w:szCs w:val="20"/>
              </w:rPr>
            </w:pPr>
          </w:p>
          <w:p w14:paraId="16C33BD6" w14:textId="77777777" w:rsidR="00F424A6" w:rsidRDefault="00F424A6" w:rsidP="00D64F4D">
            <w:pPr>
              <w:rPr>
                <w:rFonts w:ascii="Calibri" w:hAnsi="Calibri"/>
                <w:sz w:val="20"/>
                <w:szCs w:val="20"/>
              </w:rPr>
            </w:pPr>
          </w:p>
          <w:p w14:paraId="5ADB46F3" w14:textId="77777777" w:rsidR="00F424A6" w:rsidRDefault="00F424A6" w:rsidP="00D64F4D">
            <w:pPr>
              <w:rPr>
                <w:rFonts w:ascii="Calibri" w:hAnsi="Calibri"/>
                <w:sz w:val="20"/>
                <w:szCs w:val="20"/>
              </w:rPr>
            </w:pPr>
          </w:p>
          <w:p w14:paraId="293DB9B0" w14:textId="77777777" w:rsidR="00F424A6" w:rsidRDefault="00F424A6" w:rsidP="00D64F4D">
            <w:pPr>
              <w:rPr>
                <w:rFonts w:ascii="Calibri" w:hAnsi="Calibri"/>
                <w:sz w:val="20"/>
                <w:szCs w:val="20"/>
              </w:rPr>
            </w:pPr>
          </w:p>
          <w:p w14:paraId="40094D82" w14:textId="77777777" w:rsidR="00F424A6" w:rsidRDefault="00F424A6" w:rsidP="00D64F4D">
            <w:pPr>
              <w:rPr>
                <w:rFonts w:ascii="Calibri" w:hAnsi="Calibri"/>
                <w:sz w:val="20"/>
                <w:szCs w:val="20"/>
              </w:rPr>
            </w:pPr>
          </w:p>
          <w:p w14:paraId="3FEF5363" w14:textId="77777777" w:rsidR="00F424A6" w:rsidRDefault="00F424A6" w:rsidP="00D64F4D">
            <w:pPr>
              <w:rPr>
                <w:rFonts w:ascii="Calibri" w:hAnsi="Calibri"/>
                <w:sz w:val="20"/>
                <w:szCs w:val="20"/>
              </w:rPr>
            </w:pPr>
          </w:p>
          <w:p w14:paraId="5B5ECAAA" w14:textId="77777777" w:rsidR="00F424A6" w:rsidRDefault="00F424A6" w:rsidP="00D64F4D">
            <w:pPr>
              <w:rPr>
                <w:rFonts w:ascii="Calibri" w:hAnsi="Calibri"/>
                <w:sz w:val="20"/>
                <w:szCs w:val="20"/>
              </w:rPr>
            </w:pPr>
          </w:p>
          <w:p w14:paraId="5E91C375" w14:textId="77777777" w:rsidR="00F424A6" w:rsidRDefault="00F424A6" w:rsidP="00D64F4D">
            <w:pPr>
              <w:rPr>
                <w:rFonts w:ascii="Calibri" w:hAnsi="Calibri"/>
                <w:sz w:val="20"/>
                <w:szCs w:val="20"/>
              </w:rPr>
            </w:pPr>
          </w:p>
          <w:p w14:paraId="19044855" w14:textId="77777777" w:rsidR="00F424A6" w:rsidRDefault="00F424A6" w:rsidP="00D64F4D">
            <w:pPr>
              <w:rPr>
                <w:rFonts w:ascii="Calibri" w:hAnsi="Calibri"/>
                <w:sz w:val="20"/>
                <w:szCs w:val="20"/>
              </w:rPr>
            </w:pPr>
          </w:p>
          <w:p w14:paraId="54579CC6" w14:textId="77777777" w:rsidR="00F424A6" w:rsidRDefault="00F424A6" w:rsidP="00D64F4D">
            <w:pPr>
              <w:rPr>
                <w:rFonts w:ascii="Calibri" w:hAnsi="Calibri"/>
                <w:sz w:val="20"/>
                <w:szCs w:val="20"/>
              </w:rPr>
            </w:pPr>
          </w:p>
          <w:p w14:paraId="4026451A" w14:textId="77777777" w:rsidR="00F424A6" w:rsidRDefault="00F424A6" w:rsidP="00D64F4D">
            <w:pPr>
              <w:rPr>
                <w:rFonts w:ascii="Calibri" w:hAnsi="Calibri"/>
                <w:sz w:val="20"/>
                <w:szCs w:val="20"/>
              </w:rPr>
            </w:pPr>
          </w:p>
          <w:p w14:paraId="1735C2E0" w14:textId="77777777" w:rsidR="00F424A6" w:rsidRDefault="00F424A6" w:rsidP="00D64F4D">
            <w:pPr>
              <w:rPr>
                <w:rFonts w:ascii="Calibri" w:hAnsi="Calibri"/>
                <w:sz w:val="20"/>
                <w:szCs w:val="20"/>
              </w:rPr>
            </w:pPr>
          </w:p>
          <w:p w14:paraId="0481C958" w14:textId="77777777" w:rsidR="00F424A6" w:rsidRDefault="00F424A6" w:rsidP="00D64F4D">
            <w:pPr>
              <w:rPr>
                <w:rFonts w:ascii="Calibri" w:hAnsi="Calibri"/>
                <w:sz w:val="20"/>
                <w:szCs w:val="20"/>
              </w:rPr>
            </w:pPr>
          </w:p>
          <w:p w14:paraId="0215F0C4" w14:textId="77777777" w:rsidR="00F424A6" w:rsidRDefault="00F424A6" w:rsidP="00D64F4D">
            <w:pPr>
              <w:rPr>
                <w:rFonts w:ascii="Calibri" w:hAnsi="Calibri"/>
                <w:sz w:val="20"/>
                <w:szCs w:val="20"/>
              </w:rPr>
            </w:pPr>
          </w:p>
          <w:p w14:paraId="1EC240BC" w14:textId="77777777" w:rsidR="00F424A6" w:rsidRDefault="00F424A6" w:rsidP="00D64F4D">
            <w:pPr>
              <w:rPr>
                <w:rFonts w:ascii="Calibri" w:hAnsi="Calibri"/>
                <w:sz w:val="20"/>
                <w:szCs w:val="20"/>
              </w:rPr>
            </w:pPr>
          </w:p>
          <w:p w14:paraId="1D3A2240" w14:textId="77777777" w:rsidR="00F424A6" w:rsidRDefault="00F424A6" w:rsidP="00D64F4D">
            <w:pPr>
              <w:rPr>
                <w:rFonts w:ascii="Calibri" w:hAnsi="Calibri"/>
                <w:sz w:val="20"/>
                <w:szCs w:val="20"/>
              </w:rPr>
            </w:pPr>
          </w:p>
          <w:p w14:paraId="5A40B356" w14:textId="77777777" w:rsidR="00F424A6" w:rsidRDefault="00F424A6" w:rsidP="00D64F4D">
            <w:pPr>
              <w:rPr>
                <w:rFonts w:ascii="Calibri" w:hAnsi="Calibri"/>
                <w:sz w:val="20"/>
                <w:szCs w:val="20"/>
              </w:rPr>
            </w:pPr>
          </w:p>
          <w:p w14:paraId="7F2CCC05" w14:textId="77777777" w:rsidR="00F424A6" w:rsidRDefault="00F424A6" w:rsidP="00D64F4D">
            <w:pPr>
              <w:rPr>
                <w:rFonts w:ascii="Calibri" w:hAnsi="Calibri"/>
                <w:sz w:val="20"/>
                <w:szCs w:val="20"/>
              </w:rPr>
            </w:pPr>
          </w:p>
          <w:p w14:paraId="749BDD97" w14:textId="77777777" w:rsidR="00F424A6" w:rsidRDefault="00F424A6" w:rsidP="00D64F4D">
            <w:pPr>
              <w:rPr>
                <w:rFonts w:ascii="Calibri" w:hAnsi="Calibri"/>
                <w:sz w:val="20"/>
                <w:szCs w:val="20"/>
              </w:rPr>
            </w:pPr>
          </w:p>
          <w:p w14:paraId="1A90DAC6" w14:textId="77777777" w:rsidR="00F424A6" w:rsidRDefault="00F424A6" w:rsidP="00D64F4D">
            <w:pPr>
              <w:rPr>
                <w:rFonts w:ascii="Calibri" w:hAnsi="Calibri"/>
                <w:sz w:val="20"/>
                <w:szCs w:val="20"/>
              </w:rPr>
            </w:pPr>
          </w:p>
          <w:p w14:paraId="4225AD94" w14:textId="77777777" w:rsidR="00F424A6" w:rsidRDefault="00F424A6" w:rsidP="00D64F4D">
            <w:pPr>
              <w:rPr>
                <w:rFonts w:ascii="Calibri" w:hAnsi="Calibri"/>
                <w:sz w:val="20"/>
                <w:szCs w:val="20"/>
              </w:rPr>
            </w:pPr>
          </w:p>
          <w:p w14:paraId="3A80E3D4" w14:textId="77777777" w:rsidR="00F424A6" w:rsidRDefault="00F424A6" w:rsidP="00D64F4D">
            <w:pPr>
              <w:rPr>
                <w:rFonts w:ascii="Calibri" w:hAnsi="Calibri"/>
                <w:sz w:val="20"/>
                <w:szCs w:val="20"/>
              </w:rPr>
            </w:pPr>
          </w:p>
          <w:p w14:paraId="7DB1066A" w14:textId="77777777" w:rsidR="00F424A6" w:rsidRDefault="00F424A6" w:rsidP="00D64F4D">
            <w:pPr>
              <w:rPr>
                <w:rFonts w:ascii="Calibri" w:hAnsi="Calibri"/>
                <w:sz w:val="20"/>
                <w:szCs w:val="20"/>
              </w:rPr>
            </w:pPr>
          </w:p>
          <w:p w14:paraId="0B501EE0" w14:textId="77777777" w:rsidR="00F424A6" w:rsidRDefault="00F424A6" w:rsidP="00D64F4D">
            <w:pPr>
              <w:rPr>
                <w:rFonts w:ascii="Calibri" w:hAnsi="Calibri"/>
                <w:sz w:val="20"/>
                <w:szCs w:val="20"/>
              </w:rPr>
            </w:pPr>
          </w:p>
          <w:p w14:paraId="1BBD2F59" w14:textId="77777777" w:rsidR="00F424A6" w:rsidRDefault="00F424A6" w:rsidP="00D64F4D">
            <w:pPr>
              <w:rPr>
                <w:rFonts w:ascii="Calibri" w:hAnsi="Calibri"/>
                <w:sz w:val="20"/>
                <w:szCs w:val="20"/>
              </w:rPr>
            </w:pPr>
          </w:p>
          <w:p w14:paraId="43CE371C" w14:textId="77777777" w:rsidR="00F424A6" w:rsidRDefault="00F424A6" w:rsidP="00D64F4D">
            <w:pPr>
              <w:rPr>
                <w:rFonts w:ascii="Calibri" w:hAnsi="Calibri"/>
                <w:sz w:val="20"/>
                <w:szCs w:val="20"/>
              </w:rPr>
            </w:pPr>
          </w:p>
          <w:p w14:paraId="5924F57A" w14:textId="77777777" w:rsidR="00F424A6" w:rsidRDefault="00F424A6" w:rsidP="00D64F4D">
            <w:pPr>
              <w:rPr>
                <w:rFonts w:ascii="Calibri" w:hAnsi="Calibri"/>
                <w:sz w:val="20"/>
                <w:szCs w:val="20"/>
              </w:rPr>
            </w:pPr>
          </w:p>
          <w:p w14:paraId="79EA2E05" w14:textId="77777777" w:rsidR="00F424A6" w:rsidRDefault="00F424A6" w:rsidP="00D64F4D">
            <w:pPr>
              <w:rPr>
                <w:rFonts w:ascii="Calibri" w:hAnsi="Calibri"/>
                <w:sz w:val="20"/>
                <w:szCs w:val="20"/>
              </w:rPr>
            </w:pPr>
          </w:p>
          <w:p w14:paraId="27F47AD1" w14:textId="77777777" w:rsidR="00F424A6" w:rsidRDefault="00F424A6" w:rsidP="00D64F4D">
            <w:pPr>
              <w:rPr>
                <w:rFonts w:ascii="Calibri" w:hAnsi="Calibri"/>
                <w:sz w:val="20"/>
                <w:szCs w:val="20"/>
              </w:rPr>
            </w:pPr>
          </w:p>
          <w:p w14:paraId="69186749" w14:textId="77777777" w:rsidR="00F424A6" w:rsidRDefault="00F424A6" w:rsidP="00D64F4D">
            <w:pPr>
              <w:rPr>
                <w:rFonts w:ascii="Calibri" w:hAnsi="Calibri"/>
                <w:sz w:val="20"/>
                <w:szCs w:val="20"/>
              </w:rPr>
            </w:pPr>
          </w:p>
          <w:p w14:paraId="683F40AC" w14:textId="77777777" w:rsidR="00F424A6" w:rsidRDefault="00F424A6" w:rsidP="00D64F4D">
            <w:pPr>
              <w:rPr>
                <w:rFonts w:ascii="Calibri" w:hAnsi="Calibri"/>
                <w:sz w:val="20"/>
                <w:szCs w:val="20"/>
              </w:rPr>
            </w:pPr>
          </w:p>
          <w:p w14:paraId="0106D39A" w14:textId="77777777" w:rsidR="00F424A6" w:rsidRDefault="00F424A6" w:rsidP="00D64F4D">
            <w:pPr>
              <w:rPr>
                <w:rFonts w:ascii="Calibri" w:hAnsi="Calibri"/>
                <w:sz w:val="20"/>
                <w:szCs w:val="20"/>
              </w:rPr>
            </w:pPr>
          </w:p>
          <w:p w14:paraId="5E66D5C2" w14:textId="7DF07503" w:rsidR="00F424A6" w:rsidRPr="00C51FE9" w:rsidRDefault="00F424A6" w:rsidP="00C51FE9">
            <w:pPr>
              <w:pStyle w:val="ListParagraph"/>
              <w:numPr>
                <w:ilvl w:val="0"/>
                <w:numId w:val="30"/>
              </w:numPr>
              <w:rPr>
                <w:rFonts w:ascii="Calibri" w:hAnsi="Calibri"/>
                <w:sz w:val="20"/>
                <w:szCs w:val="20"/>
              </w:rPr>
            </w:pPr>
            <w:r w:rsidRPr="00C51FE9">
              <w:rPr>
                <w:rFonts w:asciiTheme="majorHAnsi" w:hAnsiTheme="majorHAnsi"/>
                <w:sz w:val="20"/>
                <w:szCs w:val="20"/>
              </w:rPr>
              <w:t xml:space="preserve">By September we’ll have new metrics, but in the </w:t>
            </w:r>
            <w:proofErr w:type="gramStart"/>
            <w:r w:rsidRPr="00C51FE9">
              <w:rPr>
                <w:rFonts w:asciiTheme="majorHAnsi" w:hAnsiTheme="majorHAnsi"/>
                <w:sz w:val="20"/>
                <w:szCs w:val="20"/>
              </w:rPr>
              <w:t>Fall</w:t>
            </w:r>
            <w:proofErr w:type="gramEnd"/>
            <w:r w:rsidRPr="00C51FE9">
              <w:rPr>
                <w:rFonts w:asciiTheme="majorHAnsi" w:hAnsiTheme="majorHAnsi"/>
                <w:sz w:val="20"/>
                <w:szCs w:val="20"/>
              </w:rPr>
              <w:t xml:space="preserve"> we’ll be looking to set the next three-year round of Institution Set Standards.</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3BF7AC8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793F83B8" w14:textId="55CBB291" w:rsidR="00776501" w:rsidRDefault="00D30662" w:rsidP="00D65EB4">
            <w:pPr>
              <w:pStyle w:val="ListParagraph"/>
              <w:numPr>
                <w:ilvl w:val="0"/>
                <w:numId w:val="20"/>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TracDat</w:t>
            </w:r>
            <w:proofErr w:type="spellEnd"/>
            <w:r w:rsidR="006C0ACF">
              <w:rPr>
                <w:rFonts w:ascii="Calibri" w:hAnsi="Calibri" w:cs="Verdana"/>
                <w:color w:val="000000"/>
                <w:sz w:val="20"/>
                <w:szCs w:val="20"/>
              </w:rPr>
              <w:t>/PP</w:t>
            </w:r>
            <w:r w:rsidR="00341511">
              <w:rPr>
                <w:rFonts w:ascii="Calibri" w:hAnsi="Calibri" w:cs="Verdana"/>
                <w:color w:val="000000"/>
                <w:sz w:val="20"/>
                <w:szCs w:val="20"/>
              </w:rPr>
              <w:t xml:space="preserve"> workgroup status update </w:t>
            </w:r>
          </w:p>
          <w:p w14:paraId="2665BB1A" w14:textId="5CF32D33" w:rsidR="006C0ACF" w:rsidRPr="006C0ACF" w:rsidRDefault="006C0ACF" w:rsidP="00D65EB4">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QFE </w:t>
            </w:r>
          </w:p>
          <w:p w14:paraId="02B9A9EF" w14:textId="77777777" w:rsidR="00D30662" w:rsidRDefault="00D30662" w:rsidP="00D65EB4">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Planning, report back and 2018</w:t>
            </w:r>
            <w:r w:rsidR="00341511">
              <w:rPr>
                <w:rFonts w:ascii="Calibri" w:hAnsi="Calibri" w:cs="Verdana"/>
                <w:color w:val="000000"/>
                <w:sz w:val="20"/>
                <w:szCs w:val="20"/>
              </w:rPr>
              <w:t xml:space="preserve"> retreat input </w:t>
            </w:r>
          </w:p>
          <w:p w14:paraId="5CC6F89F" w14:textId="77777777" w:rsidR="0035553A" w:rsidRDefault="0035553A" w:rsidP="0035553A">
            <w:pPr>
              <w:autoSpaceDE w:val="0"/>
              <w:autoSpaceDN w:val="0"/>
              <w:adjustRightInd w:val="0"/>
              <w:rPr>
                <w:rFonts w:ascii="Calibri" w:hAnsi="Calibri" w:cs="Verdana"/>
                <w:color w:val="000000"/>
                <w:sz w:val="20"/>
                <w:szCs w:val="20"/>
              </w:rPr>
            </w:pPr>
          </w:p>
          <w:p w14:paraId="6A3696F0" w14:textId="77777777" w:rsidR="0035553A" w:rsidRDefault="0035553A" w:rsidP="0035553A">
            <w:pPr>
              <w:autoSpaceDE w:val="0"/>
              <w:autoSpaceDN w:val="0"/>
              <w:adjustRightInd w:val="0"/>
              <w:rPr>
                <w:rFonts w:ascii="Calibri" w:hAnsi="Calibri" w:cs="Verdana"/>
                <w:color w:val="000000"/>
                <w:sz w:val="20"/>
                <w:szCs w:val="20"/>
              </w:rPr>
            </w:pPr>
          </w:p>
          <w:p w14:paraId="4B497205" w14:textId="77777777" w:rsidR="0035553A" w:rsidRDefault="0035553A" w:rsidP="0035553A">
            <w:pPr>
              <w:autoSpaceDE w:val="0"/>
              <w:autoSpaceDN w:val="0"/>
              <w:adjustRightInd w:val="0"/>
              <w:rPr>
                <w:rFonts w:ascii="Calibri" w:hAnsi="Calibri" w:cs="Verdana"/>
                <w:color w:val="000000"/>
                <w:sz w:val="20"/>
                <w:szCs w:val="20"/>
              </w:rPr>
            </w:pPr>
          </w:p>
          <w:p w14:paraId="5BA7F4D1" w14:textId="77777777" w:rsidR="0035553A" w:rsidRDefault="0035553A" w:rsidP="0035553A">
            <w:pPr>
              <w:autoSpaceDE w:val="0"/>
              <w:autoSpaceDN w:val="0"/>
              <w:adjustRightInd w:val="0"/>
              <w:rPr>
                <w:rFonts w:ascii="Calibri" w:hAnsi="Calibri" w:cs="Verdana"/>
                <w:color w:val="000000"/>
                <w:sz w:val="20"/>
                <w:szCs w:val="20"/>
              </w:rPr>
            </w:pPr>
          </w:p>
          <w:p w14:paraId="5567EF4F" w14:textId="77777777" w:rsidR="0035553A" w:rsidRDefault="0035553A" w:rsidP="0035553A">
            <w:pPr>
              <w:autoSpaceDE w:val="0"/>
              <w:autoSpaceDN w:val="0"/>
              <w:adjustRightInd w:val="0"/>
              <w:rPr>
                <w:rFonts w:ascii="Calibri" w:hAnsi="Calibri" w:cs="Verdana"/>
                <w:color w:val="000000"/>
                <w:sz w:val="20"/>
                <w:szCs w:val="20"/>
              </w:rPr>
            </w:pPr>
          </w:p>
          <w:p w14:paraId="0F548D6F" w14:textId="77777777" w:rsidR="0035553A" w:rsidRDefault="0035553A" w:rsidP="0035553A">
            <w:pPr>
              <w:autoSpaceDE w:val="0"/>
              <w:autoSpaceDN w:val="0"/>
              <w:adjustRightInd w:val="0"/>
              <w:rPr>
                <w:rFonts w:ascii="Calibri" w:hAnsi="Calibri" w:cs="Verdana"/>
                <w:color w:val="000000"/>
                <w:sz w:val="20"/>
                <w:szCs w:val="20"/>
              </w:rPr>
            </w:pPr>
          </w:p>
          <w:p w14:paraId="39C285BC" w14:textId="77777777" w:rsidR="0035553A" w:rsidRDefault="0035553A" w:rsidP="0035553A">
            <w:pPr>
              <w:autoSpaceDE w:val="0"/>
              <w:autoSpaceDN w:val="0"/>
              <w:adjustRightInd w:val="0"/>
              <w:rPr>
                <w:rFonts w:ascii="Calibri" w:hAnsi="Calibri" w:cs="Verdana"/>
                <w:color w:val="000000"/>
                <w:sz w:val="20"/>
                <w:szCs w:val="20"/>
              </w:rPr>
            </w:pPr>
          </w:p>
          <w:p w14:paraId="76914FCA" w14:textId="77777777" w:rsidR="0035553A" w:rsidRDefault="0035553A" w:rsidP="0035553A">
            <w:pPr>
              <w:autoSpaceDE w:val="0"/>
              <w:autoSpaceDN w:val="0"/>
              <w:adjustRightInd w:val="0"/>
              <w:rPr>
                <w:rFonts w:ascii="Calibri" w:hAnsi="Calibri" w:cs="Verdana"/>
                <w:color w:val="000000"/>
                <w:sz w:val="20"/>
                <w:szCs w:val="20"/>
              </w:rPr>
            </w:pPr>
          </w:p>
          <w:p w14:paraId="3FAEF810" w14:textId="77777777" w:rsidR="0035553A" w:rsidRDefault="0035553A" w:rsidP="0035553A">
            <w:pPr>
              <w:autoSpaceDE w:val="0"/>
              <w:autoSpaceDN w:val="0"/>
              <w:adjustRightInd w:val="0"/>
              <w:rPr>
                <w:rFonts w:ascii="Calibri" w:hAnsi="Calibri" w:cs="Verdana"/>
                <w:color w:val="000000"/>
                <w:sz w:val="20"/>
                <w:szCs w:val="20"/>
              </w:rPr>
            </w:pPr>
          </w:p>
          <w:p w14:paraId="366F4512" w14:textId="77777777" w:rsidR="0035553A" w:rsidRDefault="0035553A" w:rsidP="0035553A">
            <w:pPr>
              <w:autoSpaceDE w:val="0"/>
              <w:autoSpaceDN w:val="0"/>
              <w:adjustRightInd w:val="0"/>
              <w:rPr>
                <w:rFonts w:ascii="Calibri" w:hAnsi="Calibri" w:cs="Verdana"/>
                <w:color w:val="000000"/>
                <w:sz w:val="20"/>
                <w:szCs w:val="20"/>
              </w:rPr>
            </w:pPr>
          </w:p>
          <w:p w14:paraId="65B99369" w14:textId="77777777" w:rsidR="0035553A" w:rsidRDefault="0035553A" w:rsidP="0035553A">
            <w:pPr>
              <w:autoSpaceDE w:val="0"/>
              <w:autoSpaceDN w:val="0"/>
              <w:adjustRightInd w:val="0"/>
              <w:rPr>
                <w:rFonts w:ascii="Calibri" w:hAnsi="Calibri" w:cs="Verdana"/>
                <w:color w:val="000000"/>
                <w:sz w:val="20"/>
                <w:szCs w:val="20"/>
              </w:rPr>
            </w:pPr>
          </w:p>
          <w:p w14:paraId="1B59151D" w14:textId="77777777" w:rsidR="0035553A" w:rsidRDefault="0035553A" w:rsidP="0035553A">
            <w:pPr>
              <w:autoSpaceDE w:val="0"/>
              <w:autoSpaceDN w:val="0"/>
              <w:adjustRightInd w:val="0"/>
              <w:rPr>
                <w:rFonts w:ascii="Calibri" w:hAnsi="Calibri" w:cs="Verdana"/>
                <w:color w:val="000000"/>
                <w:sz w:val="20"/>
                <w:szCs w:val="20"/>
              </w:rPr>
            </w:pPr>
          </w:p>
          <w:p w14:paraId="438BB793" w14:textId="77777777" w:rsidR="0035553A" w:rsidRDefault="0035553A" w:rsidP="0035553A">
            <w:pPr>
              <w:autoSpaceDE w:val="0"/>
              <w:autoSpaceDN w:val="0"/>
              <w:adjustRightInd w:val="0"/>
              <w:rPr>
                <w:rFonts w:ascii="Calibri" w:hAnsi="Calibri" w:cs="Verdana"/>
                <w:color w:val="000000"/>
                <w:sz w:val="20"/>
                <w:szCs w:val="20"/>
              </w:rPr>
            </w:pPr>
          </w:p>
          <w:p w14:paraId="620E6B86" w14:textId="77777777" w:rsidR="0035553A" w:rsidRDefault="0035553A" w:rsidP="0035553A">
            <w:pPr>
              <w:autoSpaceDE w:val="0"/>
              <w:autoSpaceDN w:val="0"/>
              <w:adjustRightInd w:val="0"/>
              <w:rPr>
                <w:rFonts w:ascii="Calibri" w:hAnsi="Calibri" w:cs="Verdana"/>
                <w:color w:val="000000"/>
                <w:sz w:val="20"/>
                <w:szCs w:val="20"/>
              </w:rPr>
            </w:pPr>
          </w:p>
          <w:p w14:paraId="5E3FEDD0" w14:textId="77777777" w:rsidR="0035553A" w:rsidRDefault="0035553A" w:rsidP="0035553A">
            <w:pPr>
              <w:autoSpaceDE w:val="0"/>
              <w:autoSpaceDN w:val="0"/>
              <w:adjustRightInd w:val="0"/>
              <w:rPr>
                <w:rFonts w:ascii="Calibri" w:hAnsi="Calibri" w:cs="Verdana"/>
                <w:color w:val="000000"/>
                <w:sz w:val="20"/>
                <w:szCs w:val="20"/>
              </w:rPr>
            </w:pPr>
          </w:p>
          <w:p w14:paraId="5593213F" w14:textId="77777777" w:rsidR="0035553A" w:rsidRDefault="0035553A" w:rsidP="0035553A">
            <w:pPr>
              <w:autoSpaceDE w:val="0"/>
              <w:autoSpaceDN w:val="0"/>
              <w:adjustRightInd w:val="0"/>
              <w:rPr>
                <w:rFonts w:ascii="Calibri" w:hAnsi="Calibri" w:cs="Verdana"/>
                <w:color w:val="000000"/>
                <w:sz w:val="20"/>
                <w:szCs w:val="20"/>
              </w:rPr>
            </w:pPr>
          </w:p>
          <w:p w14:paraId="086F622E" w14:textId="77777777" w:rsidR="0035553A" w:rsidRDefault="0035553A" w:rsidP="0035553A">
            <w:pPr>
              <w:autoSpaceDE w:val="0"/>
              <w:autoSpaceDN w:val="0"/>
              <w:adjustRightInd w:val="0"/>
              <w:rPr>
                <w:rFonts w:ascii="Calibri" w:hAnsi="Calibri" w:cs="Verdana"/>
                <w:color w:val="000000"/>
                <w:sz w:val="20"/>
                <w:szCs w:val="20"/>
              </w:rPr>
            </w:pPr>
          </w:p>
          <w:p w14:paraId="34162E97" w14:textId="77777777" w:rsidR="0035553A" w:rsidRDefault="0035553A" w:rsidP="0035553A">
            <w:pPr>
              <w:autoSpaceDE w:val="0"/>
              <w:autoSpaceDN w:val="0"/>
              <w:adjustRightInd w:val="0"/>
              <w:rPr>
                <w:rFonts w:ascii="Calibri" w:hAnsi="Calibri" w:cs="Verdana"/>
                <w:color w:val="000000"/>
                <w:sz w:val="20"/>
                <w:szCs w:val="20"/>
              </w:rPr>
            </w:pPr>
          </w:p>
          <w:p w14:paraId="52063351" w14:textId="77777777" w:rsidR="0035553A" w:rsidRDefault="0035553A" w:rsidP="0035553A">
            <w:pPr>
              <w:autoSpaceDE w:val="0"/>
              <w:autoSpaceDN w:val="0"/>
              <w:adjustRightInd w:val="0"/>
              <w:rPr>
                <w:rFonts w:ascii="Calibri" w:hAnsi="Calibri" w:cs="Verdana"/>
                <w:color w:val="000000"/>
                <w:sz w:val="20"/>
                <w:szCs w:val="20"/>
              </w:rPr>
            </w:pPr>
          </w:p>
          <w:p w14:paraId="52EB89CF" w14:textId="77777777" w:rsidR="0035553A" w:rsidRDefault="0035553A" w:rsidP="0035553A">
            <w:pPr>
              <w:autoSpaceDE w:val="0"/>
              <w:autoSpaceDN w:val="0"/>
              <w:adjustRightInd w:val="0"/>
              <w:rPr>
                <w:rFonts w:ascii="Calibri" w:hAnsi="Calibri" w:cs="Verdana"/>
                <w:color w:val="000000"/>
                <w:sz w:val="20"/>
                <w:szCs w:val="20"/>
              </w:rPr>
            </w:pPr>
          </w:p>
          <w:p w14:paraId="3112ACCE" w14:textId="77777777" w:rsidR="0035553A" w:rsidRDefault="0035553A" w:rsidP="0035553A">
            <w:pPr>
              <w:autoSpaceDE w:val="0"/>
              <w:autoSpaceDN w:val="0"/>
              <w:adjustRightInd w:val="0"/>
              <w:rPr>
                <w:rFonts w:ascii="Calibri" w:hAnsi="Calibri" w:cs="Verdana"/>
                <w:color w:val="000000"/>
                <w:sz w:val="20"/>
                <w:szCs w:val="20"/>
              </w:rPr>
            </w:pPr>
          </w:p>
          <w:p w14:paraId="347C362D" w14:textId="77777777" w:rsidR="0035553A" w:rsidRDefault="0035553A" w:rsidP="0035553A">
            <w:pPr>
              <w:autoSpaceDE w:val="0"/>
              <w:autoSpaceDN w:val="0"/>
              <w:adjustRightInd w:val="0"/>
              <w:rPr>
                <w:rFonts w:ascii="Calibri" w:hAnsi="Calibri" w:cs="Verdana"/>
                <w:color w:val="000000"/>
                <w:sz w:val="20"/>
                <w:szCs w:val="20"/>
              </w:rPr>
            </w:pPr>
          </w:p>
          <w:p w14:paraId="1C371FEF" w14:textId="77777777" w:rsidR="0035553A" w:rsidRDefault="0035553A" w:rsidP="0035553A">
            <w:pPr>
              <w:autoSpaceDE w:val="0"/>
              <w:autoSpaceDN w:val="0"/>
              <w:adjustRightInd w:val="0"/>
              <w:rPr>
                <w:rFonts w:ascii="Calibri" w:hAnsi="Calibri" w:cs="Verdana"/>
                <w:color w:val="000000"/>
                <w:sz w:val="20"/>
                <w:szCs w:val="20"/>
              </w:rPr>
            </w:pPr>
          </w:p>
          <w:p w14:paraId="09D0E786" w14:textId="77777777" w:rsidR="0035553A" w:rsidRDefault="0035553A" w:rsidP="0035553A">
            <w:pPr>
              <w:autoSpaceDE w:val="0"/>
              <w:autoSpaceDN w:val="0"/>
              <w:adjustRightInd w:val="0"/>
              <w:rPr>
                <w:rFonts w:ascii="Calibri" w:hAnsi="Calibri" w:cs="Verdana"/>
                <w:color w:val="000000"/>
                <w:sz w:val="20"/>
                <w:szCs w:val="20"/>
              </w:rPr>
            </w:pPr>
          </w:p>
          <w:p w14:paraId="2E4EAF09" w14:textId="77777777" w:rsidR="0035553A" w:rsidRDefault="0035553A" w:rsidP="0035553A">
            <w:pPr>
              <w:autoSpaceDE w:val="0"/>
              <w:autoSpaceDN w:val="0"/>
              <w:adjustRightInd w:val="0"/>
              <w:rPr>
                <w:rFonts w:ascii="Calibri" w:hAnsi="Calibri" w:cs="Verdana"/>
                <w:color w:val="000000"/>
                <w:sz w:val="20"/>
                <w:szCs w:val="20"/>
              </w:rPr>
            </w:pPr>
          </w:p>
          <w:p w14:paraId="1B9DBE52" w14:textId="77777777" w:rsidR="0035553A" w:rsidRDefault="0035553A" w:rsidP="0035553A">
            <w:pPr>
              <w:autoSpaceDE w:val="0"/>
              <w:autoSpaceDN w:val="0"/>
              <w:adjustRightInd w:val="0"/>
              <w:rPr>
                <w:rFonts w:ascii="Calibri" w:hAnsi="Calibri" w:cs="Verdana"/>
                <w:color w:val="000000"/>
                <w:sz w:val="20"/>
                <w:szCs w:val="20"/>
              </w:rPr>
            </w:pPr>
          </w:p>
          <w:p w14:paraId="0D9AFF4C" w14:textId="77777777" w:rsidR="0035553A" w:rsidRDefault="0035553A" w:rsidP="0035553A">
            <w:pPr>
              <w:autoSpaceDE w:val="0"/>
              <w:autoSpaceDN w:val="0"/>
              <w:adjustRightInd w:val="0"/>
              <w:rPr>
                <w:rFonts w:ascii="Calibri" w:hAnsi="Calibri" w:cs="Verdana"/>
                <w:color w:val="000000"/>
                <w:sz w:val="20"/>
                <w:szCs w:val="20"/>
              </w:rPr>
            </w:pPr>
          </w:p>
          <w:p w14:paraId="0E40C03C" w14:textId="77777777" w:rsidR="0035553A" w:rsidRDefault="0035553A" w:rsidP="0035553A">
            <w:pPr>
              <w:autoSpaceDE w:val="0"/>
              <w:autoSpaceDN w:val="0"/>
              <w:adjustRightInd w:val="0"/>
              <w:rPr>
                <w:rFonts w:ascii="Calibri" w:hAnsi="Calibri" w:cs="Verdana"/>
                <w:color w:val="000000"/>
                <w:sz w:val="20"/>
                <w:szCs w:val="20"/>
              </w:rPr>
            </w:pPr>
          </w:p>
          <w:p w14:paraId="651B650F" w14:textId="77777777" w:rsidR="0035553A" w:rsidRDefault="0035553A" w:rsidP="0035553A">
            <w:pPr>
              <w:autoSpaceDE w:val="0"/>
              <w:autoSpaceDN w:val="0"/>
              <w:adjustRightInd w:val="0"/>
              <w:rPr>
                <w:rFonts w:ascii="Calibri" w:hAnsi="Calibri" w:cs="Verdana"/>
                <w:color w:val="000000"/>
                <w:sz w:val="20"/>
                <w:szCs w:val="20"/>
              </w:rPr>
            </w:pPr>
          </w:p>
          <w:p w14:paraId="6700D12E" w14:textId="77777777" w:rsidR="0035553A" w:rsidRDefault="0035553A" w:rsidP="0035553A">
            <w:pPr>
              <w:autoSpaceDE w:val="0"/>
              <w:autoSpaceDN w:val="0"/>
              <w:adjustRightInd w:val="0"/>
              <w:rPr>
                <w:rFonts w:ascii="Calibri" w:hAnsi="Calibri" w:cs="Verdana"/>
                <w:color w:val="000000"/>
                <w:sz w:val="20"/>
                <w:szCs w:val="20"/>
              </w:rPr>
            </w:pPr>
          </w:p>
          <w:p w14:paraId="2565BEA9" w14:textId="77777777" w:rsidR="0035553A" w:rsidRDefault="0035553A" w:rsidP="0035553A">
            <w:pPr>
              <w:autoSpaceDE w:val="0"/>
              <w:autoSpaceDN w:val="0"/>
              <w:adjustRightInd w:val="0"/>
              <w:rPr>
                <w:rFonts w:ascii="Calibri" w:hAnsi="Calibri" w:cs="Verdana"/>
                <w:color w:val="000000"/>
                <w:sz w:val="20"/>
                <w:szCs w:val="20"/>
              </w:rPr>
            </w:pPr>
          </w:p>
          <w:p w14:paraId="4B5010EB" w14:textId="77777777" w:rsidR="0035553A" w:rsidRDefault="0035553A" w:rsidP="0035553A">
            <w:pPr>
              <w:autoSpaceDE w:val="0"/>
              <w:autoSpaceDN w:val="0"/>
              <w:adjustRightInd w:val="0"/>
              <w:rPr>
                <w:rFonts w:ascii="Calibri" w:hAnsi="Calibri" w:cs="Verdana"/>
                <w:color w:val="000000"/>
                <w:sz w:val="20"/>
                <w:szCs w:val="20"/>
              </w:rPr>
            </w:pPr>
          </w:p>
          <w:p w14:paraId="59A5D1B3" w14:textId="77777777" w:rsidR="0035553A" w:rsidRDefault="0035553A" w:rsidP="0035553A">
            <w:pPr>
              <w:autoSpaceDE w:val="0"/>
              <w:autoSpaceDN w:val="0"/>
              <w:adjustRightInd w:val="0"/>
              <w:rPr>
                <w:rFonts w:ascii="Calibri" w:hAnsi="Calibri" w:cs="Verdana"/>
                <w:color w:val="000000"/>
                <w:sz w:val="20"/>
                <w:szCs w:val="20"/>
              </w:rPr>
            </w:pPr>
          </w:p>
          <w:p w14:paraId="496AA10F" w14:textId="77777777" w:rsidR="0035553A" w:rsidRDefault="0035553A" w:rsidP="0035553A">
            <w:pPr>
              <w:autoSpaceDE w:val="0"/>
              <w:autoSpaceDN w:val="0"/>
              <w:adjustRightInd w:val="0"/>
              <w:rPr>
                <w:rFonts w:ascii="Calibri" w:hAnsi="Calibri" w:cs="Verdana"/>
                <w:color w:val="000000"/>
                <w:sz w:val="20"/>
                <w:szCs w:val="20"/>
              </w:rPr>
            </w:pPr>
          </w:p>
          <w:p w14:paraId="1AB19EE8" w14:textId="77777777" w:rsidR="0035553A" w:rsidRDefault="0035553A" w:rsidP="0035553A">
            <w:pPr>
              <w:autoSpaceDE w:val="0"/>
              <w:autoSpaceDN w:val="0"/>
              <w:adjustRightInd w:val="0"/>
              <w:rPr>
                <w:rFonts w:ascii="Calibri" w:hAnsi="Calibri" w:cs="Verdana"/>
                <w:color w:val="000000"/>
                <w:sz w:val="20"/>
                <w:szCs w:val="20"/>
              </w:rPr>
            </w:pPr>
          </w:p>
          <w:p w14:paraId="2B29F7AF" w14:textId="77777777" w:rsidR="0035553A" w:rsidRDefault="0035553A" w:rsidP="0035553A">
            <w:pPr>
              <w:autoSpaceDE w:val="0"/>
              <w:autoSpaceDN w:val="0"/>
              <w:adjustRightInd w:val="0"/>
              <w:rPr>
                <w:rFonts w:ascii="Calibri" w:hAnsi="Calibri" w:cs="Verdana"/>
                <w:color w:val="000000"/>
                <w:sz w:val="20"/>
                <w:szCs w:val="20"/>
              </w:rPr>
            </w:pPr>
          </w:p>
          <w:p w14:paraId="040FC068" w14:textId="77777777" w:rsidR="0035553A" w:rsidRDefault="0035553A" w:rsidP="0035553A">
            <w:pPr>
              <w:autoSpaceDE w:val="0"/>
              <w:autoSpaceDN w:val="0"/>
              <w:adjustRightInd w:val="0"/>
              <w:rPr>
                <w:rFonts w:ascii="Calibri" w:hAnsi="Calibri" w:cs="Verdana"/>
                <w:color w:val="000000"/>
                <w:sz w:val="20"/>
                <w:szCs w:val="20"/>
              </w:rPr>
            </w:pPr>
          </w:p>
          <w:p w14:paraId="6B55025C" w14:textId="77777777" w:rsidR="0035553A" w:rsidRDefault="0035553A" w:rsidP="0035553A">
            <w:pPr>
              <w:autoSpaceDE w:val="0"/>
              <w:autoSpaceDN w:val="0"/>
              <w:adjustRightInd w:val="0"/>
              <w:rPr>
                <w:rFonts w:ascii="Calibri" w:hAnsi="Calibri" w:cs="Verdana"/>
                <w:color w:val="000000"/>
                <w:sz w:val="20"/>
                <w:szCs w:val="20"/>
              </w:rPr>
            </w:pPr>
          </w:p>
          <w:p w14:paraId="3748868C" w14:textId="77777777" w:rsidR="0035553A" w:rsidRDefault="0035553A" w:rsidP="0035553A">
            <w:pPr>
              <w:autoSpaceDE w:val="0"/>
              <w:autoSpaceDN w:val="0"/>
              <w:adjustRightInd w:val="0"/>
              <w:rPr>
                <w:rFonts w:ascii="Calibri" w:hAnsi="Calibri" w:cs="Verdana"/>
                <w:color w:val="000000"/>
                <w:sz w:val="20"/>
                <w:szCs w:val="20"/>
              </w:rPr>
            </w:pPr>
          </w:p>
          <w:p w14:paraId="745E7DE6" w14:textId="77777777" w:rsidR="0035553A" w:rsidRDefault="0035553A" w:rsidP="0035553A">
            <w:pPr>
              <w:autoSpaceDE w:val="0"/>
              <w:autoSpaceDN w:val="0"/>
              <w:adjustRightInd w:val="0"/>
              <w:rPr>
                <w:rFonts w:ascii="Calibri" w:hAnsi="Calibri" w:cs="Verdana"/>
                <w:color w:val="000000"/>
                <w:sz w:val="20"/>
                <w:szCs w:val="20"/>
              </w:rPr>
            </w:pPr>
          </w:p>
          <w:p w14:paraId="6810E6F9" w14:textId="77777777" w:rsidR="0035553A" w:rsidRDefault="0035553A" w:rsidP="0035553A">
            <w:pPr>
              <w:autoSpaceDE w:val="0"/>
              <w:autoSpaceDN w:val="0"/>
              <w:adjustRightInd w:val="0"/>
              <w:rPr>
                <w:rFonts w:ascii="Calibri" w:hAnsi="Calibri" w:cs="Verdana"/>
                <w:color w:val="000000"/>
                <w:sz w:val="20"/>
                <w:szCs w:val="20"/>
              </w:rPr>
            </w:pPr>
          </w:p>
          <w:p w14:paraId="6B79D990" w14:textId="77777777" w:rsidR="0035553A" w:rsidRDefault="0035553A" w:rsidP="0035553A">
            <w:pPr>
              <w:autoSpaceDE w:val="0"/>
              <w:autoSpaceDN w:val="0"/>
              <w:adjustRightInd w:val="0"/>
              <w:rPr>
                <w:rFonts w:ascii="Calibri" w:hAnsi="Calibri" w:cs="Verdana"/>
                <w:color w:val="000000"/>
                <w:sz w:val="20"/>
                <w:szCs w:val="20"/>
              </w:rPr>
            </w:pPr>
          </w:p>
          <w:p w14:paraId="3C9C53DC" w14:textId="77777777" w:rsidR="0035553A" w:rsidRDefault="0035553A" w:rsidP="0035553A">
            <w:pPr>
              <w:autoSpaceDE w:val="0"/>
              <w:autoSpaceDN w:val="0"/>
              <w:adjustRightInd w:val="0"/>
              <w:rPr>
                <w:rFonts w:ascii="Calibri" w:hAnsi="Calibri" w:cs="Verdana"/>
                <w:color w:val="000000"/>
                <w:sz w:val="20"/>
                <w:szCs w:val="20"/>
              </w:rPr>
            </w:pPr>
          </w:p>
          <w:p w14:paraId="544A0426" w14:textId="77777777" w:rsidR="0035553A" w:rsidRDefault="0035553A" w:rsidP="0035553A">
            <w:pPr>
              <w:autoSpaceDE w:val="0"/>
              <w:autoSpaceDN w:val="0"/>
              <w:adjustRightInd w:val="0"/>
              <w:rPr>
                <w:rFonts w:ascii="Calibri" w:hAnsi="Calibri" w:cs="Verdana"/>
                <w:color w:val="000000"/>
                <w:sz w:val="20"/>
                <w:szCs w:val="20"/>
              </w:rPr>
            </w:pPr>
          </w:p>
          <w:p w14:paraId="368E0EDB" w14:textId="77777777" w:rsidR="0035553A" w:rsidRDefault="0035553A" w:rsidP="0035553A">
            <w:pPr>
              <w:autoSpaceDE w:val="0"/>
              <w:autoSpaceDN w:val="0"/>
              <w:adjustRightInd w:val="0"/>
              <w:rPr>
                <w:rFonts w:ascii="Calibri" w:hAnsi="Calibri" w:cs="Verdana"/>
                <w:color w:val="000000"/>
                <w:sz w:val="20"/>
                <w:szCs w:val="20"/>
              </w:rPr>
            </w:pPr>
          </w:p>
          <w:p w14:paraId="02DCB45D" w14:textId="77777777" w:rsidR="0035553A" w:rsidRDefault="0035553A" w:rsidP="0035553A">
            <w:pPr>
              <w:autoSpaceDE w:val="0"/>
              <w:autoSpaceDN w:val="0"/>
              <w:adjustRightInd w:val="0"/>
              <w:rPr>
                <w:rFonts w:ascii="Calibri" w:hAnsi="Calibri" w:cs="Verdana"/>
                <w:color w:val="000000"/>
                <w:sz w:val="20"/>
                <w:szCs w:val="20"/>
              </w:rPr>
            </w:pPr>
          </w:p>
          <w:p w14:paraId="68000E3A" w14:textId="77777777" w:rsidR="0035553A" w:rsidRDefault="0035553A" w:rsidP="0035553A">
            <w:pPr>
              <w:autoSpaceDE w:val="0"/>
              <w:autoSpaceDN w:val="0"/>
              <w:adjustRightInd w:val="0"/>
              <w:rPr>
                <w:rFonts w:ascii="Calibri" w:hAnsi="Calibri" w:cs="Verdana"/>
                <w:color w:val="000000"/>
                <w:sz w:val="20"/>
                <w:szCs w:val="20"/>
              </w:rPr>
            </w:pPr>
          </w:p>
          <w:p w14:paraId="4CC84650" w14:textId="77777777" w:rsidR="0035553A" w:rsidRPr="0035553A" w:rsidRDefault="0035553A" w:rsidP="0035553A">
            <w:pPr>
              <w:autoSpaceDE w:val="0"/>
              <w:autoSpaceDN w:val="0"/>
              <w:adjustRightInd w:val="0"/>
              <w:rPr>
                <w:rFonts w:ascii="Calibri" w:hAnsi="Calibri" w:cs="Verdana"/>
                <w:color w:val="000000"/>
                <w:sz w:val="20"/>
                <w:szCs w:val="20"/>
              </w:rPr>
            </w:pPr>
          </w:p>
          <w:p w14:paraId="7BD0ADD8" w14:textId="53A7F417" w:rsidR="00D65EB4" w:rsidRPr="00D65EB4" w:rsidRDefault="00D65EB4" w:rsidP="00D65EB4">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 review report back </w:t>
            </w:r>
          </w:p>
        </w:tc>
        <w:tc>
          <w:tcPr>
            <w:tcW w:w="1950" w:type="pct"/>
          </w:tcPr>
          <w:p w14:paraId="31C88141" w14:textId="577C438D" w:rsidR="00D57BF5" w:rsidRDefault="00F424A6" w:rsidP="00F424A6">
            <w:pPr>
              <w:pStyle w:val="ListParagraph"/>
              <w:numPr>
                <w:ilvl w:val="0"/>
                <w:numId w:val="28"/>
              </w:numPr>
              <w:rPr>
                <w:rFonts w:asciiTheme="majorHAnsi" w:hAnsiTheme="majorHAnsi"/>
                <w:sz w:val="20"/>
                <w:szCs w:val="20"/>
              </w:rPr>
            </w:pPr>
            <w:r w:rsidRPr="00FC0DDA">
              <w:rPr>
                <w:rFonts w:asciiTheme="majorHAnsi" w:hAnsiTheme="majorHAnsi"/>
                <w:i/>
                <w:sz w:val="20"/>
                <w:szCs w:val="20"/>
              </w:rPr>
              <w:lastRenderedPageBreak/>
              <w:t>We’re proposing that not every group get a fac</w:t>
            </w:r>
            <w:r w:rsidR="00C51FE9" w:rsidRPr="00FC0DDA">
              <w:rPr>
                <w:rFonts w:asciiTheme="majorHAnsi" w:hAnsiTheme="majorHAnsi"/>
                <w:i/>
                <w:sz w:val="20"/>
                <w:szCs w:val="20"/>
              </w:rPr>
              <w:t>e-to-face review every year.</w:t>
            </w:r>
            <w:r w:rsidR="00C51FE9">
              <w:rPr>
                <w:rFonts w:asciiTheme="majorHAnsi" w:hAnsiTheme="majorHAnsi"/>
                <w:sz w:val="20"/>
                <w:szCs w:val="20"/>
              </w:rPr>
              <w:t xml:space="preserve">  </w:t>
            </w:r>
            <w:r w:rsidR="00D57BF5">
              <w:rPr>
                <w:rFonts w:asciiTheme="majorHAnsi" w:hAnsiTheme="majorHAnsi"/>
                <w:sz w:val="20"/>
                <w:szCs w:val="20"/>
              </w:rPr>
              <w:t>Disciplines can opt in, or VP/ASP can assign annual meetings as needed.</w:t>
            </w:r>
            <w:r w:rsidR="00121A91">
              <w:rPr>
                <w:rFonts w:asciiTheme="majorHAnsi" w:hAnsiTheme="majorHAnsi"/>
                <w:sz w:val="20"/>
                <w:szCs w:val="20"/>
              </w:rPr>
              <w:t xml:space="preserve">  This allows disciplines to be able to voice things if deans aren’t </w:t>
            </w:r>
            <w:r w:rsidR="00FC0DDA">
              <w:rPr>
                <w:rFonts w:asciiTheme="majorHAnsi" w:hAnsiTheme="majorHAnsi"/>
                <w:sz w:val="20"/>
                <w:szCs w:val="20"/>
              </w:rPr>
              <w:t>hearing them.  Three-year cycle.</w:t>
            </w:r>
          </w:p>
          <w:p w14:paraId="2B24332E" w14:textId="77777777" w:rsidR="00FC0DDA" w:rsidRDefault="00F424A6" w:rsidP="00D57BF5">
            <w:pPr>
              <w:pStyle w:val="ListParagraph"/>
              <w:ind w:left="738"/>
              <w:rPr>
                <w:rFonts w:asciiTheme="majorHAnsi" w:hAnsiTheme="majorHAnsi"/>
                <w:sz w:val="20"/>
                <w:szCs w:val="20"/>
              </w:rPr>
            </w:pPr>
            <w:r>
              <w:rPr>
                <w:rFonts w:asciiTheme="majorHAnsi" w:hAnsiTheme="majorHAnsi"/>
                <w:sz w:val="20"/>
                <w:szCs w:val="20"/>
              </w:rPr>
              <w:br/>
            </w:r>
            <w:r w:rsidRPr="00FC0DDA">
              <w:rPr>
                <w:rFonts w:asciiTheme="majorHAnsi" w:hAnsiTheme="majorHAnsi"/>
                <w:i/>
                <w:sz w:val="20"/>
                <w:szCs w:val="20"/>
              </w:rPr>
              <w:t>What programs should do during off years (besides keeping up on requests)?</w:t>
            </w:r>
            <w:r w:rsidR="00D57BF5">
              <w:rPr>
                <w:rFonts w:asciiTheme="majorHAnsi" w:hAnsiTheme="majorHAnsi"/>
                <w:sz w:val="20"/>
                <w:szCs w:val="20"/>
              </w:rPr>
              <w:t xml:space="preserve">  One idea: make it department or division level review on those years.  Another idea: a</w:t>
            </w:r>
            <w:r w:rsidR="00FC0DDA">
              <w:rPr>
                <w:rFonts w:asciiTheme="majorHAnsi" w:hAnsiTheme="majorHAnsi"/>
                <w:sz w:val="20"/>
                <w:szCs w:val="20"/>
              </w:rPr>
              <w:t xml:space="preserve">n executive summary that goes every year.  </w:t>
            </w:r>
            <w:r w:rsidR="00D57BF5">
              <w:rPr>
                <w:rFonts w:asciiTheme="majorHAnsi" w:hAnsiTheme="majorHAnsi"/>
                <w:sz w:val="20"/>
                <w:szCs w:val="20"/>
              </w:rPr>
              <w:br/>
            </w:r>
            <w:r w:rsidR="00D57BF5">
              <w:rPr>
                <w:rFonts w:asciiTheme="majorHAnsi" w:hAnsiTheme="majorHAnsi"/>
                <w:sz w:val="20"/>
                <w:szCs w:val="20"/>
              </w:rPr>
              <w:br/>
            </w:r>
            <w:r w:rsidR="00FC0DDA">
              <w:rPr>
                <w:rFonts w:asciiTheme="majorHAnsi" w:hAnsiTheme="majorHAnsi"/>
                <w:sz w:val="20"/>
                <w:szCs w:val="20"/>
              </w:rPr>
              <w:t xml:space="preserve">Lee: </w:t>
            </w:r>
            <w:r w:rsidR="00D57BF5">
              <w:rPr>
                <w:rFonts w:asciiTheme="majorHAnsi" w:hAnsiTheme="majorHAnsi"/>
                <w:sz w:val="20"/>
                <w:szCs w:val="20"/>
              </w:rPr>
              <w:t xml:space="preserve">Advertise as a positive: PP every year, but just no </w:t>
            </w:r>
            <w:r w:rsidR="00121A91">
              <w:rPr>
                <w:rFonts w:asciiTheme="majorHAnsi" w:hAnsiTheme="majorHAnsi"/>
                <w:sz w:val="20"/>
                <w:szCs w:val="20"/>
              </w:rPr>
              <w:t>VP/ASP</w:t>
            </w:r>
            <w:r w:rsidR="00FC0DDA">
              <w:rPr>
                <w:rFonts w:asciiTheme="majorHAnsi" w:hAnsiTheme="majorHAnsi"/>
                <w:sz w:val="20"/>
                <w:szCs w:val="20"/>
              </w:rPr>
              <w:t xml:space="preserve"> review</w:t>
            </w:r>
            <w:r w:rsidR="00121A91">
              <w:rPr>
                <w:rFonts w:asciiTheme="majorHAnsi" w:hAnsiTheme="majorHAnsi"/>
                <w:sz w:val="20"/>
                <w:szCs w:val="20"/>
              </w:rPr>
              <w:t xml:space="preserve"> </w:t>
            </w:r>
            <w:r w:rsidR="00D57BF5">
              <w:rPr>
                <w:rFonts w:asciiTheme="majorHAnsi" w:hAnsiTheme="majorHAnsi"/>
                <w:sz w:val="20"/>
                <w:szCs w:val="20"/>
              </w:rPr>
              <w:t xml:space="preserve">meeting on the off years. </w:t>
            </w:r>
          </w:p>
          <w:p w14:paraId="6AABEDA2" w14:textId="77777777" w:rsidR="00FC0DDA" w:rsidRDefault="00D57BF5" w:rsidP="00FC0DDA">
            <w:pPr>
              <w:pStyle w:val="ListParagraph"/>
              <w:ind w:left="738"/>
              <w:rPr>
                <w:rFonts w:asciiTheme="majorHAnsi" w:hAnsiTheme="majorHAnsi"/>
                <w:sz w:val="20"/>
                <w:szCs w:val="20"/>
              </w:rPr>
            </w:pPr>
            <w:r>
              <w:rPr>
                <w:rFonts w:asciiTheme="majorHAnsi" w:hAnsiTheme="majorHAnsi"/>
                <w:sz w:val="20"/>
                <w:szCs w:val="20"/>
              </w:rPr>
              <w:br/>
              <w:t xml:space="preserve">Action plan was intended to be a three-year plan </w:t>
            </w:r>
            <w:r>
              <w:rPr>
                <w:rFonts w:asciiTheme="majorHAnsi" w:hAnsiTheme="majorHAnsi"/>
                <w:sz w:val="20"/>
                <w:szCs w:val="20"/>
              </w:rPr>
              <w:lastRenderedPageBreak/>
              <w:t>(define, implement, complete goals).  Action plans shouldn’t be updated every year, but resource requests are currently on this tab.</w:t>
            </w:r>
            <w:r w:rsidR="00FC0DDA">
              <w:rPr>
                <w:rFonts w:asciiTheme="majorHAnsi" w:hAnsiTheme="majorHAnsi"/>
                <w:sz w:val="20"/>
                <w:szCs w:val="20"/>
              </w:rPr>
              <w:t xml:space="preserve">  Deans and executive team can communicate this to disciplines.</w:t>
            </w:r>
          </w:p>
          <w:p w14:paraId="7FFA8332" w14:textId="77777777" w:rsidR="00FC0DDA" w:rsidRDefault="00FC0DDA" w:rsidP="00FC0DDA">
            <w:pPr>
              <w:pStyle w:val="ListParagraph"/>
              <w:ind w:left="738"/>
              <w:rPr>
                <w:rFonts w:asciiTheme="majorHAnsi" w:hAnsiTheme="majorHAnsi"/>
                <w:sz w:val="20"/>
                <w:szCs w:val="20"/>
              </w:rPr>
            </w:pPr>
          </w:p>
          <w:p w14:paraId="72543293" w14:textId="77777777" w:rsidR="00C51FE9" w:rsidRDefault="00C51FE9" w:rsidP="00FC0DDA">
            <w:pPr>
              <w:pStyle w:val="ListParagraph"/>
              <w:ind w:left="738"/>
              <w:rPr>
                <w:rFonts w:asciiTheme="majorHAnsi" w:hAnsiTheme="majorHAnsi"/>
                <w:sz w:val="20"/>
                <w:szCs w:val="20"/>
              </w:rPr>
            </w:pPr>
            <w:r>
              <w:rPr>
                <w:rFonts w:asciiTheme="majorHAnsi" w:hAnsiTheme="majorHAnsi"/>
                <w:sz w:val="20"/>
                <w:szCs w:val="20"/>
              </w:rPr>
              <w:t xml:space="preserve">All but four are ‘Strengthen the Program’… This status can mean two different things:  a program on the rise vs. one that is in trouble.  Maybe we can add ‘strengthen program, move to three-year cycle’ and ‘strengthen program, and we’d like to meet next year’.  This solution doesn’t compromise the BP while also indicating to the program a more nuanced.  </w:t>
            </w:r>
            <w:r w:rsidR="00FC0DDA">
              <w:rPr>
                <w:rFonts w:asciiTheme="majorHAnsi" w:hAnsiTheme="majorHAnsi"/>
                <w:sz w:val="20"/>
                <w:szCs w:val="20"/>
              </w:rPr>
              <w:t>Consensus that this solves the problem.</w:t>
            </w:r>
            <w:r>
              <w:rPr>
                <w:rFonts w:asciiTheme="majorHAnsi" w:hAnsiTheme="majorHAnsi"/>
                <w:sz w:val="20"/>
                <w:szCs w:val="20"/>
              </w:rPr>
              <w:br/>
            </w:r>
            <w:r>
              <w:rPr>
                <w:rFonts w:asciiTheme="majorHAnsi" w:hAnsiTheme="majorHAnsi"/>
                <w:sz w:val="20"/>
                <w:szCs w:val="20"/>
              </w:rPr>
              <w:br/>
            </w:r>
            <w:r w:rsidR="00FC0DDA" w:rsidRPr="00FC0DDA">
              <w:rPr>
                <w:rFonts w:asciiTheme="majorHAnsi" w:hAnsiTheme="majorHAnsi"/>
                <w:i/>
                <w:sz w:val="20"/>
                <w:szCs w:val="20"/>
              </w:rPr>
              <w:t>Not three years?</w:t>
            </w:r>
            <w:r w:rsidR="00FC0DDA">
              <w:rPr>
                <w:rFonts w:asciiTheme="majorHAnsi" w:hAnsiTheme="majorHAnsi"/>
                <w:sz w:val="20"/>
                <w:szCs w:val="20"/>
              </w:rPr>
              <w:t xml:space="preserve">  Lisa: We can do a 12-year master plan if we want. That time frame is up to us to choose.  Program review is technically curriculum, resources, and other sources, and that is on a five-year cycle.  Would it make sense to align all of these?  </w:t>
            </w:r>
            <w:r>
              <w:rPr>
                <w:rFonts w:asciiTheme="majorHAnsi" w:hAnsiTheme="majorHAnsi"/>
                <w:sz w:val="20"/>
                <w:szCs w:val="20"/>
              </w:rPr>
              <w:t>Rolland: it seems like a lot can happen in four years.</w:t>
            </w:r>
            <w:r w:rsidR="00FC0DDA">
              <w:rPr>
                <w:rFonts w:asciiTheme="majorHAnsi" w:hAnsiTheme="majorHAnsi"/>
                <w:sz w:val="20"/>
                <w:szCs w:val="20"/>
              </w:rPr>
              <w:t xml:space="preserve"> </w:t>
            </w:r>
            <w:r>
              <w:rPr>
                <w:rFonts w:asciiTheme="majorHAnsi" w:hAnsiTheme="majorHAnsi"/>
                <w:sz w:val="20"/>
                <w:szCs w:val="20"/>
              </w:rPr>
              <w:t>Mary: three-year cycle is consistent to other colleges.  PRT visit also va</w:t>
            </w:r>
            <w:r w:rsidR="00FC0DDA">
              <w:rPr>
                <w:rFonts w:asciiTheme="majorHAnsi" w:hAnsiTheme="majorHAnsi"/>
                <w:sz w:val="20"/>
                <w:szCs w:val="20"/>
              </w:rPr>
              <w:t xml:space="preserve">lidated this interval of time.  </w:t>
            </w:r>
            <w:r>
              <w:rPr>
                <w:rFonts w:asciiTheme="majorHAnsi" w:hAnsiTheme="majorHAnsi"/>
                <w:sz w:val="20"/>
                <w:szCs w:val="20"/>
              </w:rPr>
              <w:t>Rolland: Could CTE programs do two years, and everyone else to three years?  Every six years, it would be more work than other years, but less work than it is now.</w:t>
            </w:r>
            <w:r w:rsidR="00FC0DDA">
              <w:rPr>
                <w:rFonts w:asciiTheme="majorHAnsi" w:hAnsiTheme="majorHAnsi"/>
                <w:sz w:val="20"/>
                <w:szCs w:val="20"/>
              </w:rPr>
              <w:t xml:space="preserve">  </w:t>
            </w:r>
            <w:r w:rsidR="00121A91">
              <w:rPr>
                <w:rFonts w:asciiTheme="majorHAnsi" w:hAnsiTheme="majorHAnsi"/>
                <w:sz w:val="20"/>
                <w:szCs w:val="20"/>
              </w:rPr>
              <w:t xml:space="preserve">Consensus is to stick with three-year cycle for now.  </w:t>
            </w:r>
          </w:p>
          <w:p w14:paraId="2325168F" w14:textId="77777777" w:rsidR="00EE46B6" w:rsidRDefault="00EE46B6" w:rsidP="00FC0DDA">
            <w:pPr>
              <w:pStyle w:val="ListParagraph"/>
              <w:ind w:left="738"/>
              <w:rPr>
                <w:rFonts w:asciiTheme="majorHAnsi" w:hAnsiTheme="majorHAnsi"/>
                <w:sz w:val="20"/>
                <w:szCs w:val="20"/>
              </w:rPr>
            </w:pPr>
          </w:p>
          <w:p w14:paraId="2C63661B" w14:textId="3E408713" w:rsidR="0035553A" w:rsidRDefault="00EE46B6" w:rsidP="0035553A">
            <w:pPr>
              <w:pStyle w:val="ListParagraph"/>
              <w:ind w:left="738"/>
              <w:rPr>
                <w:rFonts w:asciiTheme="majorHAnsi" w:hAnsiTheme="majorHAnsi"/>
                <w:sz w:val="20"/>
                <w:szCs w:val="20"/>
              </w:rPr>
            </w:pPr>
            <w:r>
              <w:rPr>
                <w:rFonts w:asciiTheme="majorHAnsi" w:hAnsiTheme="majorHAnsi"/>
                <w:sz w:val="20"/>
                <w:szCs w:val="20"/>
              </w:rPr>
              <w:t>TRACDAT recommendations approved.</w:t>
            </w:r>
          </w:p>
          <w:p w14:paraId="4C8AB041" w14:textId="77777777" w:rsidR="0035553A" w:rsidRPr="0035553A" w:rsidRDefault="0035553A" w:rsidP="0035553A">
            <w:pPr>
              <w:pStyle w:val="ListParagraph"/>
              <w:ind w:left="738"/>
              <w:rPr>
                <w:rFonts w:asciiTheme="majorHAnsi" w:hAnsiTheme="majorHAnsi"/>
                <w:sz w:val="20"/>
                <w:szCs w:val="20"/>
              </w:rPr>
            </w:pPr>
          </w:p>
          <w:p w14:paraId="71D7D7E5" w14:textId="7B97A0DA" w:rsidR="00EE46B6" w:rsidRPr="0035553A" w:rsidRDefault="00EE46B6" w:rsidP="0035553A">
            <w:pPr>
              <w:pStyle w:val="ListParagraph"/>
              <w:numPr>
                <w:ilvl w:val="0"/>
                <w:numId w:val="34"/>
              </w:numPr>
              <w:rPr>
                <w:rFonts w:asciiTheme="majorHAnsi" w:hAnsiTheme="majorHAnsi"/>
                <w:sz w:val="20"/>
                <w:szCs w:val="20"/>
              </w:rPr>
            </w:pPr>
            <w:r w:rsidRPr="0035553A">
              <w:rPr>
                <w:rFonts w:asciiTheme="majorHAnsi" w:hAnsiTheme="majorHAnsi"/>
                <w:sz w:val="20"/>
                <w:szCs w:val="20"/>
              </w:rPr>
              <w:t>PP Status Report disseminated and acknowledged.</w:t>
            </w:r>
          </w:p>
        </w:tc>
        <w:tc>
          <w:tcPr>
            <w:tcW w:w="1109" w:type="pct"/>
            <w:shd w:val="clear" w:color="auto" w:fill="auto"/>
          </w:tcPr>
          <w:p w14:paraId="4FCA87D4" w14:textId="77777777" w:rsidR="00C6283E" w:rsidRDefault="00121A91" w:rsidP="00D57BF5">
            <w:pPr>
              <w:pStyle w:val="ListParagraph"/>
              <w:numPr>
                <w:ilvl w:val="0"/>
                <w:numId w:val="31"/>
              </w:numPr>
              <w:rPr>
                <w:rFonts w:ascii="Calibri" w:hAnsi="Calibri"/>
                <w:sz w:val="20"/>
                <w:szCs w:val="20"/>
              </w:rPr>
            </w:pPr>
            <w:r>
              <w:rPr>
                <w:rFonts w:ascii="Calibri" w:hAnsi="Calibri"/>
                <w:sz w:val="20"/>
                <w:szCs w:val="20"/>
              </w:rPr>
              <w:lastRenderedPageBreak/>
              <w:t>Motion carries to accept the recommendations of the workgroup, with cosmetic changes to typos.  Mary R. abstains.</w:t>
            </w:r>
          </w:p>
          <w:p w14:paraId="0FAA3AAC" w14:textId="27C9AAFB" w:rsidR="00121A91" w:rsidRPr="00D57BF5" w:rsidRDefault="00121A91" w:rsidP="00121A91">
            <w:pPr>
              <w:pStyle w:val="ListParagraph"/>
              <w:ind w:left="691"/>
              <w:rPr>
                <w:rFonts w:ascii="Calibri" w:hAnsi="Calibri"/>
                <w:sz w:val="20"/>
                <w:szCs w:val="20"/>
              </w:rPr>
            </w:pPr>
            <w:r>
              <w:rPr>
                <w:rFonts w:ascii="Calibri" w:hAnsi="Calibri"/>
                <w:sz w:val="20"/>
                <w:szCs w:val="20"/>
              </w:rPr>
              <w:br/>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71590635"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77777777"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47DE212B" w:rsidR="00C6283E" w:rsidRPr="009359EA" w:rsidRDefault="00D65EB4" w:rsidP="00D65EB4">
            <w:pPr>
              <w:autoSpaceDE w:val="0"/>
              <w:autoSpaceDN w:val="0"/>
              <w:adjustRightInd w:val="0"/>
              <w:rPr>
                <w:rFonts w:ascii="Calibri" w:hAnsi="Calibri" w:cs="Verdana"/>
                <w:sz w:val="20"/>
                <w:szCs w:val="20"/>
              </w:rPr>
            </w:pPr>
            <w:r>
              <w:rPr>
                <w:rFonts w:ascii="Calibri" w:hAnsi="Calibri" w:cs="Verdana"/>
                <w:sz w:val="20"/>
                <w:szCs w:val="20"/>
              </w:rPr>
              <w:t>April 24th</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35553A" w:rsidRDefault="0035553A" w:rsidP="00F71B2D">
      <w:r>
        <w:separator/>
      </w:r>
    </w:p>
  </w:endnote>
  <w:endnote w:type="continuationSeparator" w:id="0">
    <w:p w14:paraId="428D4DA7" w14:textId="77777777" w:rsidR="0035553A" w:rsidRDefault="0035553A"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35553A" w:rsidRDefault="0035553A" w:rsidP="00F71B2D">
      <w:r>
        <w:separator/>
      </w:r>
    </w:p>
  </w:footnote>
  <w:footnote w:type="continuationSeparator" w:id="0">
    <w:p w14:paraId="31C6FA5C" w14:textId="77777777" w:rsidR="0035553A" w:rsidRDefault="0035553A"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0B6CF1AB" w:rsidR="0035553A" w:rsidRDefault="0035553A"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2536F546" w:rsidR="0035553A" w:rsidRDefault="0035553A" w:rsidP="00F71B2D">
    <w:pPr>
      <w:pStyle w:val="Header"/>
      <w:jc w:val="right"/>
    </w:pPr>
    <w:r>
      <w:rPr>
        <w:rFonts w:ascii="Calibri" w:eastAsia="Calibri" w:hAnsi="Calibri" w:cs="Calibri"/>
        <w:b/>
        <w:sz w:val="28"/>
        <w:szCs w:val="28"/>
      </w:rPr>
      <w:t>2:30-4pm, April 3,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734B55"/>
    <w:multiLevelType w:val="hybridMultilevel"/>
    <w:tmpl w:val="CD863A50"/>
    <w:lvl w:ilvl="0" w:tplc="23A02776">
      <w:start w:val="1"/>
      <w:numFmt w:val="upp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1">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12F2F"/>
    <w:multiLevelType w:val="multilevel"/>
    <w:tmpl w:val="CD863A50"/>
    <w:lvl w:ilvl="0">
      <w:start w:val="1"/>
      <w:numFmt w:val="upperLetter"/>
      <w:lvlText w:val="%1."/>
      <w:lvlJc w:val="left"/>
      <w:pPr>
        <w:ind w:left="691" w:hanging="360"/>
      </w:pPr>
      <w:rPr>
        <w:rFonts w:hint="default"/>
      </w:rPr>
    </w:lvl>
    <w:lvl w:ilvl="1">
      <w:start w:val="1"/>
      <w:numFmt w:val="lowerLetter"/>
      <w:lvlText w:val="%2."/>
      <w:lvlJc w:val="left"/>
      <w:pPr>
        <w:ind w:left="1411" w:hanging="360"/>
      </w:pPr>
    </w:lvl>
    <w:lvl w:ilvl="2">
      <w:start w:val="1"/>
      <w:numFmt w:val="lowerRoman"/>
      <w:lvlText w:val="%3."/>
      <w:lvlJc w:val="right"/>
      <w:pPr>
        <w:ind w:left="2131" w:hanging="180"/>
      </w:pPr>
    </w:lvl>
    <w:lvl w:ilvl="3">
      <w:start w:val="1"/>
      <w:numFmt w:val="decimal"/>
      <w:lvlText w:val="%4."/>
      <w:lvlJc w:val="left"/>
      <w:pPr>
        <w:ind w:left="2851" w:hanging="360"/>
      </w:pPr>
    </w:lvl>
    <w:lvl w:ilvl="4">
      <w:start w:val="1"/>
      <w:numFmt w:val="lowerLetter"/>
      <w:lvlText w:val="%5."/>
      <w:lvlJc w:val="left"/>
      <w:pPr>
        <w:ind w:left="3571" w:hanging="360"/>
      </w:pPr>
    </w:lvl>
    <w:lvl w:ilvl="5">
      <w:start w:val="1"/>
      <w:numFmt w:val="lowerRoman"/>
      <w:lvlText w:val="%6."/>
      <w:lvlJc w:val="right"/>
      <w:pPr>
        <w:ind w:left="4291" w:hanging="180"/>
      </w:pPr>
    </w:lvl>
    <w:lvl w:ilvl="6">
      <w:start w:val="1"/>
      <w:numFmt w:val="decimal"/>
      <w:lvlText w:val="%7."/>
      <w:lvlJc w:val="left"/>
      <w:pPr>
        <w:ind w:left="5011" w:hanging="360"/>
      </w:pPr>
    </w:lvl>
    <w:lvl w:ilvl="7">
      <w:start w:val="1"/>
      <w:numFmt w:val="lowerLetter"/>
      <w:lvlText w:val="%8."/>
      <w:lvlJc w:val="left"/>
      <w:pPr>
        <w:ind w:left="5731" w:hanging="360"/>
      </w:pPr>
    </w:lvl>
    <w:lvl w:ilvl="8">
      <w:start w:val="1"/>
      <w:numFmt w:val="lowerRoman"/>
      <w:lvlText w:val="%9."/>
      <w:lvlJc w:val="right"/>
      <w:pPr>
        <w:ind w:left="6451" w:hanging="180"/>
      </w:pPr>
    </w:lvl>
  </w:abstractNum>
  <w:abstractNum w:abstractNumId="13">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D0405"/>
    <w:multiLevelType w:val="hybridMultilevel"/>
    <w:tmpl w:val="BDD659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D7274B"/>
    <w:multiLevelType w:val="hybridMultilevel"/>
    <w:tmpl w:val="CB762022"/>
    <w:lvl w:ilvl="0" w:tplc="23A02776">
      <w:start w:val="1"/>
      <w:numFmt w:val="upp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1">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D6F30"/>
    <w:multiLevelType w:val="hybridMultilevel"/>
    <w:tmpl w:val="BD00180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8099F"/>
    <w:multiLevelType w:val="hybridMultilevel"/>
    <w:tmpl w:val="9F88B064"/>
    <w:lvl w:ilvl="0" w:tplc="8AFA43A4">
      <w:start w:val="4"/>
      <w:numFmt w:val="upperLetter"/>
      <w:lvlText w:val="%1."/>
      <w:lvlJc w:val="left"/>
      <w:pPr>
        <w:ind w:left="6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C3442"/>
    <w:multiLevelType w:val="hybridMultilevel"/>
    <w:tmpl w:val="07EAEA12"/>
    <w:lvl w:ilvl="0" w:tplc="23A02776">
      <w:start w:val="1"/>
      <w:numFmt w:val="upp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3E2713"/>
    <w:multiLevelType w:val="hybridMultilevel"/>
    <w:tmpl w:val="0BEA5A8C"/>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7F292D2D"/>
    <w:multiLevelType w:val="hybridMultilevel"/>
    <w:tmpl w:val="0BEA5A8C"/>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30"/>
  </w:num>
  <w:num w:numId="3">
    <w:abstractNumId w:val="24"/>
  </w:num>
  <w:num w:numId="4">
    <w:abstractNumId w:val="21"/>
  </w:num>
  <w:num w:numId="5">
    <w:abstractNumId w:val="1"/>
  </w:num>
  <w:num w:numId="6">
    <w:abstractNumId w:val="23"/>
  </w:num>
  <w:num w:numId="7">
    <w:abstractNumId w:val="22"/>
  </w:num>
  <w:num w:numId="8">
    <w:abstractNumId w:val="31"/>
  </w:num>
  <w:num w:numId="9">
    <w:abstractNumId w:val="19"/>
  </w:num>
  <w:num w:numId="10">
    <w:abstractNumId w:val="16"/>
  </w:num>
  <w:num w:numId="11">
    <w:abstractNumId w:val="18"/>
  </w:num>
  <w:num w:numId="12">
    <w:abstractNumId w:val="14"/>
  </w:num>
  <w:num w:numId="13">
    <w:abstractNumId w:val="15"/>
  </w:num>
  <w:num w:numId="14">
    <w:abstractNumId w:val="25"/>
  </w:num>
  <w:num w:numId="15">
    <w:abstractNumId w:val="11"/>
  </w:num>
  <w:num w:numId="16">
    <w:abstractNumId w:val="0"/>
  </w:num>
  <w:num w:numId="17">
    <w:abstractNumId w:val="6"/>
  </w:num>
  <w:num w:numId="18">
    <w:abstractNumId w:val="2"/>
  </w:num>
  <w:num w:numId="19">
    <w:abstractNumId w:val="4"/>
  </w:num>
  <w:num w:numId="20">
    <w:abstractNumId w:val="33"/>
  </w:num>
  <w:num w:numId="21">
    <w:abstractNumId w:val="8"/>
  </w:num>
  <w:num w:numId="22">
    <w:abstractNumId w:val="5"/>
  </w:num>
  <w:num w:numId="23">
    <w:abstractNumId w:val="13"/>
  </w:num>
  <w:num w:numId="24">
    <w:abstractNumId w:val="26"/>
  </w:num>
  <w:num w:numId="25">
    <w:abstractNumId w:val="9"/>
  </w:num>
  <w:num w:numId="26">
    <w:abstractNumId w:val="3"/>
  </w:num>
  <w:num w:numId="27">
    <w:abstractNumId w:val="29"/>
  </w:num>
  <w:num w:numId="28">
    <w:abstractNumId w:val="32"/>
  </w:num>
  <w:num w:numId="29">
    <w:abstractNumId w:val="27"/>
  </w:num>
  <w:num w:numId="30">
    <w:abstractNumId w:val="10"/>
  </w:num>
  <w:num w:numId="31">
    <w:abstractNumId w:val="20"/>
  </w:num>
  <w:num w:numId="32">
    <w:abstractNumId w:val="17"/>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05A6"/>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1A91"/>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7BC3"/>
    <w:rsid w:val="00237E7D"/>
    <w:rsid w:val="00245309"/>
    <w:rsid w:val="00247149"/>
    <w:rsid w:val="002628BB"/>
    <w:rsid w:val="002730D0"/>
    <w:rsid w:val="002842B5"/>
    <w:rsid w:val="002A3603"/>
    <w:rsid w:val="002C11DF"/>
    <w:rsid w:val="002C425C"/>
    <w:rsid w:val="002F01C4"/>
    <w:rsid w:val="00304077"/>
    <w:rsid w:val="00313462"/>
    <w:rsid w:val="0032711C"/>
    <w:rsid w:val="00332F3A"/>
    <w:rsid w:val="003336AB"/>
    <w:rsid w:val="00341511"/>
    <w:rsid w:val="00350C36"/>
    <w:rsid w:val="003532B3"/>
    <w:rsid w:val="0035553A"/>
    <w:rsid w:val="00371E81"/>
    <w:rsid w:val="00382ACF"/>
    <w:rsid w:val="00383AE8"/>
    <w:rsid w:val="00385B6E"/>
    <w:rsid w:val="003E27B6"/>
    <w:rsid w:val="003F5318"/>
    <w:rsid w:val="0040321B"/>
    <w:rsid w:val="00442A2A"/>
    <w:rsid w:val="00450AA0"/>
    <w:rsid w:val="004551A4"/>
    <w:rsid w:val="00473079"/>
    <w:rsid w:val="00482BF5"/>
    <w:rsid w:val="00484342"/>
    <w:rsid w:val="004B0FAE"/>
    <w:rsid w:val="004B2801"/>
    <w:rsid w:val="004D7D1C"/>
    <w:rsid w:val="004E50F8"/>
    <w:rsid w:val="005040B6"/>
    <w:rsid w:val="005270DC"/>
    <w:rsid w:val="00530526"/>
    <w:rsid w:val="005649F5"/>
    <w:rsid w:val="00575158"/>
    <w:rsid w:val="0059326A"/>
    <w:rsid w:val="005A7297"/>
    <w:rsid w:val="005B6B08"/>
    <w:rsid w:val="005D2583"/>
    <w:rsid w:val="005E1026"/>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E13E7"/>
    <w:rsid w:val="007F22FD"/>
    <w:rsid w:val="007F23DE"/>
    <w:rsid w:val="0080216C"/>
    <w:rsid w:val="00803D3A"/>
    <w:rsid w:val="0080427F"/>
    <w:rsid w:val="0080494A"/>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71A18"/>
    <w:rsid w:val="00980DA1"/>
    <w:rsid w:val="0098242F"/>
    <w:rsid w:val="0099011C"/>
    <w:rsid w:val="009A1509"/>
    <w:rsid w:val="009A522B"/>
    <w:rsid w:val="009D6BAE"/>
    <w:rsid w:val="009E4795"/>
    <w:rsid w:val="009E57A6"/>
    <w:rsid w:val="009F3F84"/>
    <w:rsid w:val="00A17806"/>
    <w:rsid w:val="00A17EF8"/>
    <w:rsid w:val="00A21EE9"/>
    <w:rsid w:val="00A27CE8"/>
    <w:rsid w:val="00A67593"/>
    <w:rsid w:val="00A74FE9"/>
    <w:rsid w:val="00A92D89"/>
    <w:rsid w:val="00A93180"/>
    <w:rsid w:val="00AA36A3"/>
    <w:rsid w:val="00AC1C8B"/>
    <w:rsid w:val="00AE7ABA"/>
    <w:rsid w:val="00AF7D5D"/>
    <w:rsid w:val="00B05CA3"/>
    <w:rsid w:val="00B25901"/>
    <w:rsid w:val="00B44AE5"/>
    <w:rsid w:val="00B64CA9"/>
    <w:rsid w:val="00B7157F"/>
    <w:rsid w:val="00B73950"/>
    <w:rsid w:val="00B82B89"/>
    <w:rsid w:val="00B84DEF"/>
    <w:rsid w:val="00C1420A"/>
    <w:rsid w:val="00C14707"/>
    <w:rsid w:val="00C30875"/>
    <w:rsid w:val="00C4538A"/>
    <w:rsid w:val="00C46830"/>
    <w:rsid w:val="00C51FE9"/>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57BF5"/>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E46B6"/>
    <w:rsid w:val="00EF2922"/>
    <w:rsid w:val="00F00B54"/>
    <w:rsid w:val="00F0528E"/>
    <w:rsid w:val="00F112F3"/>
    <w:rsid w:val="00F31B82"/>
    <w:rsid w:val="00F424A6"/>
    <w:rsid w:val="00F5746B"/>
    <w:rsid w:val="00F67D34"/>
    <w:rsid w:val="00F71B2D"/>
    <w:rsid w:val="00F74C72"/>
    <w:rsid w:val="00F979A9"/>
    <w:rsid w:val="00FB42D7"/>
    <w:rsid w:val="00FC0DDA"/>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7</Pages>
  <Words>1430</Words>
  <Characters>8155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5</cp:revision>
  <cp:lastPrinted>2016-09-22T21:53:00Z</cp:lastPrinted>
  <dcterms:created xsi:type="dcterms:W3CDTF">2018-04-03T20:02:00Z</dcterms:created>
  <dcterms:modified xsi:type="dcterms:W3CDTF">2018-04-14T00:45:00Z</dcterms:modified>
</cp:coreProperties>
</file>