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7DD62" w14:textId="77777777" w:rsidR="00182341" w:rsidRPr="00182341" w:rsidRDefault="00182341" w:rsidP="00150DFA">
      <w:bookmarkStart w:id="0" w:name="_GoBack"/>
      <w:bookmarkEnd w:id="0"/>
      <w:r w:rsidRPr="00182341">
        <w:rPr>
          <w:noProof/>
        </w:rPr>
        <w:drawing>
          <wp:inline distT="0" distB="0" distL="0" distR="0" wp14:anchorId="24F340D6" wp14:editId="139ABD2B">
            <wp:extent cx="6184302" cy="4114800"/>
            <wp:effectExtent l="6033" t="0" r="0" b="0"/>
            <wp:docPr id="1" name="Picture 1" descr="DSC0197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DSC01973">
                      <a:hlinkClick r:id="rId10"/>
                    </pic:cNvPr>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rot="16200000">
                      <a:off x="0" y="0"/>
                      <a:ext cx="6184302" cy="4114800"/>
                    </a:xfrm>
                    <a:prstGeom prst="rect">
                      <a:avLst/>
                    </a:prstGeom>
                    <a:noFill/>
                    <a:ln>
                      <a:noFill/>
                    </a:ln>
                  </pic:spPr>
                </pic:pic>
              </a:graphicData>
            </a:graphic>
          </wp:inline>
        </w:drawing>
      </w:r>
    </w:p>
    <w:p w14:paraId="04ACE87A" w14:textId="77777777" w:rsidR="00182341" w:rsidRDefault="00182341" w:rsidP="00150DFA"/>
    <w:p w14:paraId="5DD77509" w14:textId="77777777" w:rsidR="00182341" w:rsidRPr="000F25C2" w:rsidRDefault="00182341" w:rsidP="00150DFA">
      <w:r w:rsidRPr="000F25C2">
        <w:t>MOORPARK COLLEGE SELF EVALUATION</w:t>
      </w:r>
    </w:p>
    <w:p w14:paraId="1ABB6DDA" w14:textId="12FA3BBA" w:rsidR="00956415" w:rsidRPr="00182341" w:rsidRDefault="000C6BB8" w:rsidP="00150DFA">
      <w:pPr>
        <w:pStyle w:val="Heading1"/>
      </w:pPr>
      <w:r w:rsidRPr="00182341">
        <w:t>Q</w:t>
      </w:r>
      <w:r w:rsidR="00182341" w:rsidRPr="00182341">
        <w:t xml:space="preserve">uality </w:t>
      </w:r>
      <w:r w:rsidRPr="00182341">
        <w:t>F</w:t>
      </w:r>
      <w:r w:rsidR="00182341" w:rsidRPr="00182341">
        <w:t xml:space="preserve">ocused </w:t>
      </w:r>
      <w:r w:rsidRPr="00182341">
        <w:t>E</w:t>
      </w:r>
      <w:r w:rsidR="00182341" w:rsidRPr="00182341">
        <w:t>ssay</w:t>
      </w:r>
    </w:p>
    <w:p w14:paraId="287FCE34" w14:textId="77777777" w:rsidR="00182341" w:rsidRDefault="00182341" w:rsidP="00150DFA">
      <w:pPr>
        <w:rPr>
          <w:sz w:val="24"/>
          <w:szCs w:val="24"/>
        </w:rPr>
      </w:pPr>
      <w:r>
        <w:br w:type="page"/>
      </w:r>
    </w:p>
    <w:p w14:paraId="5A55D7FB" w14:textId="77777777" w:rsidR="00150DFA" w:rsidRDefault="00150DFA" w:rsidP="00150DFA">
      <w:pPr>
        <w:pStyle w:val="Heading2"/>
      </w:pPr>
      <w:r w:rsidRPr="00150DFA">
        <w:lastRenderedPageBreak/>
        <w:t>Planning</w:t>
      </w:r>
      <w:r>
        <w:t xml:space="preserve"> for Continuous Improvement</w:t>
      </w:r>
    </w:p>
    <w:p w14:paraId="26E31394" w14:textId="77777777" w:rsidR="00150DFA" w:rsidRPr="00182341" w:rsidRDefault="00150DFA" w:rsidP="00150DFA">
      <w:pPr>
        <w:pStyle w:val="Heading3"/>
      </w:pPr>
      <w:r w:rsidRPr="00150DFA">
        <w:t>Institutionalization</w:t>
      </w:r>
      <w:r w:rsidRPr="00182341">
        <w:t xml:space="preserve"> of Best Practices Related to Program Review and Planning</w:t>
      </w:r>
    </w:p>
    <w:p w14:paraId="1ABB6DE6" w14:textId="3F334631" w:rsidR="003B1C82" w:rsidRPr="00182341" w:rsidRDefault="00150DFA" w:rsidP="007B26FA">
      <w:r>
        <w:t>During the accreditation self-evaluation process, Moorpark College engaged in reflective and deliberate discussions to identify action plans that support college efforts to improve student learning and student achievement.</w:t>
      </w:r>
      <w:r w:rsidR="008D3531">
        <w:t xml:space="preserve"> These discussions netted in many great ideas about how to build partnerships with our community, how to increase outreach efforts, and how to address small issues such as improvements to our program plan templates.  Although these suggestions are worthy of action, and will be addressed over the coming year or so, they did not directly tie to the Action Plans identified in the self-evaluation process. After much deliberation, the College decided to focus its efforts in further </w:t>
      </w:r>
      <w:r w:rsidR="000679B9">
        <w:t xml:space="preserve">1. </w:t>
      </w:r>
      <w:r w:rsidR="008D3531">
        <w:t>developing i</w:t>
      </w:r>
      <w:r w:rsidR="000679B9">
        <w:t>ts research capacity to improve acced</w:t>
      </w:r>
      <w:r w:rsidR="008D3531">
        <w:t xml:space="preserve"> to important data at the moments that faculty, staff and administrators need information</w:t>
      </w:r>
      <w:r w:rsidR="009E750B">
        <w:t xml:space="preserve"> and </w:t>
      </w:r>
      <w:r w:rsidR="000679B9">
        <w:t xml:space="preserve">2. </w:t>
      </w:r>
      <w:r w:rsidR="009E750B">
        <w:t>providing user-friendly technology in order to enhance the communication of data</w:t>
      </w:r>
      <w:r w:rsidR="008D3531">
        <w:t xml:space="preserve">. Through the increase in research and data availability, the College will be more effective in its evaluation of student learning and student achievement, allowing it to be more responsive to student needs. </w:t>
      </w:r>
      <w:r w:rsidR="003B1C82" w:rsidRPr="00182341">
        <w:t xml:space="preserve"> </w:t>
      </w:r>
    </w:p>
    <w:p w14:paraId="1ABB6DE7" w14:textId="05550B71" w:rsidR="00197AF8" w:rsidRPr="00182341" w:rsidRDefault="001736DB" w:rsidP="00150DFA">
      <w:r>
        <w:t>While the College has been successful in institu</w:t>
      </w:r>
      <w:r w:rsidR="008A6E7A">
        <w:t xml:space="preserve">tionalizing </w:t>
      </w:r>
      <w:r>
        <w:t xml:space="preserve">a process of continuous quality improvement supported by data, the need for data by the campus community has grown. This is due in part to new </w:t>
      </w:r>
      <w:r w:rsidR="002B63B0">
        <w:t>s</w:t>
      </w:r>
      <w:r>
        <w:t xml:space="preserve">tate accountability requirements, but also is an outcome of the culture of evidence that the college has developed since before the 2010 Self-Evaluation. The College now has the resources, both a fully staffed office of institutional research and new technology, to expand data availability and to assist faculty, staff and administrators with developing innovative ways to evaluate and use data. This action project has several steps which build upon each other in order to achieve the ultimate goal of understanding the health of the programs in order to support program planning and student success and achievement efforts. In order to achieve this goal it is important that the data can be easily requested by members of the college community, that it is easily available, and that results are widely communicated. While it is important to provide data, it is equally </w:t>
      </w:r>
      <w:r w:rsidR="00224B40">
        <w:t>vital</w:t>
      </w:r>
      <w:r>
        <w:t xml:space="preserve"> to ensure that any individual wishing to use data has the necessary support to understand how to use the data most effectively for their program development/improvement needs. (Standards I.A, I.B, II.A, II.C,III.A, IIID and IV.A)</w:t>
      </w:r>
    </w:p>
    <w:p w14:paraId="4A4CC4FB" w14:textId="4ED1B254" w:rsidR="002B63B0" w:rsidRPr="002B63B0" w:rsidRDefault="002B63B0"/>
    <w:p w14:paraId="6AF2812A" w14:textId="77777777" w:rsidR="00816379" w:rsidRDefault="00816379">
      <w:pPr>
        <w:rPr>
          <w:b/>
          <w:sz w:val="24"/>
        </w:rPr>
      </w:pPr>
      <w:r>
        <w:rPr>
          <w:b/>
          <w:sz w:val="24"/>
        </w:rPr>
        <w:br w:type="page"/>
      </w:r>
    </w:p>
    <w:p w14:paraId="76D39836" w14:textId="2851F360" w:rsidR="007B26FA" w:rsidRDefault="007B26FA" w:rsidP="007B26FA">
      <w:pPr>
        <w:rPr>
          <w:sz w:val="24"/>
        </w:rPr>
      </w:pPr>
      <w:r w:rsidRPr="002B63B0">
        <w:rPr>
          <w:b/>
          <w:sz w:val="24"/>
        </w:rPr>
        <w:lastRenderedPageBreak/>
        <w:t>Action Project#1:</w:t>
      </w:r>
      <w:r w:rsidRPr="002B63B0">
        <w:rPr>
          <w:i/>
          <w:sz w:val="24"/>
        </w:rPr>
        <w:t xml:space="preserve"> What</w:t>
      </w:r>
      <w:r w:rsidR="002B63B0">
        <w:rPr>
          <w:i/>
          <w:sz w:val="24"/>
        </w:rPr>
        <w:t xml:space="preserve"> i</w:t>
      </w:r>
      <w:r w:rsidRPr="002B63B0">
        <w:rPr>
          <w:i/>
          <w:sz w:val="24"/>
        </w:rPr>
        <w:t>s the Health of My Program?</w:t>
      </w:r>
    </w:p>
    <w:p w14:paraId="34BB86D1" w14:textId="7CCA837B" w:rsidR="00443D7C" w:rsidRPr="00443D7C" w:rsidRDefault="00443D7C" w:rsidP="007B26FA">
      <w:pPr>
        <w:rPr>
          <w:i/>
          <w:u w:val="single"/>
        </w:rPr>
      </w:pPr>
      <w:r w:rsidRPr="00443D7C">
        <w:rPr>
          <w:i/>
          <w:u w:val="single"/>
        </w:rPr>
        <w:t>Step 1: Identify and Define Appropriate College Programs</w:t>
      </w:r>
    </w:p>
    <w:p w14:paraId="13D7C570" w14:textId="192FD6FF" w:rsidR="002B63B0" w:rsidRDefault="002B63B0" w:rsidP="007B26FA">
      <w:r>
        <w:t>For the purposes of developing annual program plans, t</w:t>
      </w:r>
      <w:r w:rsidRPr="002B63B0">
        <w:t xml:space="preserve">he </w:t>
      </w:r>
      <w:r>
        <w:t xml:space="preserve">College has typically defined a “program” based on subject area (discipline); for example, English is defined as a program. Some subject areas have selected to group themselves into larger programs; for example, Biology, Anatomy, Physiology, Microbiology and Zoology have defined themselves as the Biological Sciences program. This freedom has allowed faculty, staff and administrators define the programs based on function and commonality. </w:t>
      </w:r>
    </w:p>
    <w:p w14:paraId="1ABB6DE8" w14:textId="6DFFDBE5" w:rsidR="00443D7C" w:rsidRDefault="002B63B0" w:rsidP="00443D7C">
      <w:r>
        <w:t>This definition of “program” however has led to the exclusion of larger programmatic groupings</w:t>
      </w:r>
      <w:r w:rsidR="00A92CAC">
        <w:t xml:space="preserve"> (learning options programs)</w:t>
      </w:r>
      <w:r>
        <w:t>, such as a Distance Education Program, a Basic Skills Program, a Student Success and Equity Program</w:t>
      </w:r>
      <w:r w:rsidR="007B31A4">
        <w:t>, Student Life (clubs and campus activities), and the Freshman Experience Program</w:t>
      </w:r>
      <w:r>
        <w:t xml:space="preserve">. Although the College indeed evaluates these programmatic groupings through a variety of institutional effectiveness reports, it has recently become clear that </w:t>
      </w:r>
      <w:r w:rsidR="00443D7C">
        <w:t xml:space="preserve">the </w:t>
      </w:r>
      <w:r w:rsidR="00816379">
        <w:t>C</w:t>
      </w:r>
      <w:r w:rsidR="00443D7C">
        <w:t>ollege</w:t>
      </w:r>
      <w:r w:rsidR="00816379">
        <w:t>’s</w:t>
      </w:r>
      <w:r w:rsidR="00443D7C">
        <w:t xml:space="preserve"> planning and evaluation processes w</w:t>
      </w:r>
      <w:r>
        <w:t xml:space="preserve">ould </w:t>
      </w:r>
      <w:r w:rsidR="00443D7C">
        <w:t>be improved by elevating these programmatic groupings to a “program,” allowing the faculty and staff who provide services and instruction in these areas to formally submit program plans. This will also prompt for the development and delivery of research and data reports to the appropriate faculty, staff and administrators who are tasked with providing these services and instruction to students.</w:t>
      </w:r>
    </w:p>
    <w:tbl>
      <w:tblPr>
        <w:tblStyle w:val="TableGrid"/>
        <w:tblW w:w="0" w:type="auto"/>
        <w:tblLook w:val="04A0" w:firstRow="1" w:lastRow="0" w:firstColumn="1" w:lastColumn="0" w:noHBand="0" w:noVBand="1"/>
      </w:tblPr>
      <w:tblGrid>
        <w:gridCol w:w="1278"/>
        <w:gridCol w:w="3510"/>
        <w:gridCol w:w="1980"/>
        <w:gridCol w:w="1620"/>
        <w:gridCol w:w="1188"/>
      </w:tblGrid>
      <w:tr w:rsidR="003947C2" w14:paraId="7E847F33" w14:textId="77777777" w:rsidTr="00A92CAC">
        <w:tc>
          <w:tcPr>
            <w:tcW w:w="1278" w:type="dxa"/>
            <w:vAlign w:val="center"/>
          </w:tcPr>
          <w:p w14:paraId="4FAFF198" w14:textId="3C5F2FDF" w:rsidR="00BD0907" w:rsidRPr="00BD0907" w:rsidRDefault="00BD0907" w:rsidP="00BD0907">
            <w:pPr>
              <w:jc w:val="center"/>
              <w:rPr>
                <w:b/>
                <w:sz w:val="20"/>
                <w:szCs w:val="20"/>
              </w:rPr>
            </w:pPr>
            <w:r w:rsidRPr="00BD0907">
              <w:rPr>
                <w:b/>
                <w:sz w:val="20"/>
                <w:szCs w:val="20"/>
              </w:rPr>
              <w:t>Relevant Standard(s)</w:t>
            </w:r>
          </w:p>
        </w:tc>
        <w:tc>
          <w:tcPr>
            <w:tcW w:w="3510" w:type="dxa"/>
            <w:vAlign w:val="center"/>
          </w:tcPr>
          <w:p w14:paraId="2BD43BD9" w14:textId="2ABC47F8" w:rsidR="00BD0907" w:rsidRPr="00BD0907" w:rsidRDefault="00BD0907" w:rsidP="00BD0907">
            <w:pPr>
              <w:jc w:val="center"/>
              <w:rPr>
                <w:b/>
                <w:sz w:val="20"/>
                <w:szCs w:val="20"/>
              </w:rPr>
            </w:pPr>
            <w:r w:rsidRPr="00BD0907">
              <w:rPr>
                <w:b/>
                <w:sz w:val="20"/>
                <w:szCs w:val="20"/>
              </w:rPr>
              <w:t>Outcome</w:t>
            </w:r>
          </w:p>
        </w:tc>
        <w:tc>
          <w:tcPr>
            <w:tcW w:w="1980" w:type="dxa"/>
            <w:vAlign w:val="center"/>
          </w:tcPr>
          <w:p w14:paraId="0808AF54" w14:textId="1421B34A" w:rsidR="00BD0907" w:rsidRPr="00BD0907" w:rsidRDefault="00BD0907" w:rsidP="00BD0907">
            <w:pPr>
              <w:jc w:val="center"/>
              <w:rPr>
                <w:b/>
                <w:sz w:val="20"/>
                <w:szCs w:val="20"/>
              </w:rPr>
            </w:pPr>
            <w:r w:rsidRPr="00BD0907">
              <w:rPr>
                <w:b/>
                <w:sz w:val="20"/>
                <w:szCs w:val="20"/>
              </w:rPr>
              <w:t>Measures of Progress</w:t>
            </w:r>
          </w:p>
        </w:tc>
        <w:tc>
          <w:tcPr>
            <w:tcW w:w="1620" w:type="dxa"/>
            <w:vAlign w:val="center"/>
          </w:tcPr>
          <w:p w14:paraId="28847498" w14:textId="7A0899E2" w:rsidR="00BD0907" w:rsidRPr="00BD0907" w:rsidRDefault="00BD0907" w:rsidP="00BD0907">
            <w:pPr>
              <w:jc w:val="center"/>
              <w:rPr>
                <w:b/>
                <w:sz w:val="20"/>
                <w:szCs w:val="20"/>
              </w:rPr>
            </w:pPr>
            <w:r w:rsidRPr="00BD0907">
              <w:rPr>
                <w:b/>
                <w:sz w:val="20"/>
                <w:szCs w:val="20"/>
              </w:rPr>
              <w:t>Responsible Parties</w:t>
            </w:r>
          </w:p>
        </w:tc>
        <w:tc>
          <w:tcPr>
            <w:tcW w:w="1188" w:type="dxa"/>
            <w:vAlign w:val="center"/>
          </w:tcPr>
          <w:p w14:paraId="503AE588" w14:textId="37047268" w:rsidR="00BD0907" w:rsidRPr="00BD0907" w:rsidRDefault="00BD0907" w:rsidP="00BD0907">
            <w:pPr>
              <w:jc w:val="center"/>
              <w:rPr>
                <w:b/>
                <w:sz w:val="20"/>
                <w:szCs w:val="20"/>
              </w:rPr>
            </w:pPr>
            <w:r w:rsidRPr="00BD0907">
              <w:rPr>
                <w:b/>
                <w:sz w:val="20"/>
                <w:szCs w:val="20"/>
              </w:rPr>
              <w:t>Timeline</w:t>
            </w:r>
          </w:p>
        </w:tc>
      </w:tr>
      <w:tr w:rsidR="003947C2" w14:paraId="5FA0DEDC" w14:textId="77777777" w:rsidTr="00A92CAC">
        <w:tc>
          <w:tcPr>
            <w:tcW w:w="1278" w:type="dxa"/>
          </w:tcPr>
          <w:p w14:paraId="3C10BDD7" w14:textId="77777777" w:rsidR="00BD0907" w:rsidRDefault="00BD0907" w:rsidP="00A92CAC"/>
        </w:tc>
        <w:tc>
          <w:tcPr>
            <w:tcW w:w="3510" w:type="dxa"/>
          </w:tcPr>
          <w:p w14:paraId="6B7F4E86" w14:textId="77777777" w:rsidR="00BD0907" w:rsidRDefault="00A92CAC" w:rsidP="00A92CAC">
            <w:r>
              <w:t>Identify and Define Programs:</w:t>
            </w:r>
          </w:p>
          <w:p w14:paraId="5B7F3F83" w14:textId="77777777" w:rsidR="00A92CAC" w:rsidRDefault="00A92CAC" w:rsidP="00A92CAC">
            <w:pPr>
              <w:pStyle w:val="ListParagraph"/>
              <w:numPr>
                <w:ilvl w:val="0"/>
                <w:numId w:val="6"/>
              </w:numPr>
              <w:ind w:left="252" w:hanging="177"/>
            </w:pPr>
            <w:r>
              <w:t>Subject Area Programs</w:t>
            </w:r>
          </w:p>
          <w:p w14:paraId="10D6DC4D" w14:textId="7014D326" w:rsidR="00A92CAC" w:rsidRDefault="00A92CAC" w:rsidP="00A92CAC">
            <w:pPr>
              <w:pStyle w:val="ListParagraph"/>
              <w:numPr>
                <w:ilvl w:val="0"/>
                <w:numId w:val="6"/>
              </w:numPr>
              <w:ind w:left="252" w:hanging="177"/>
            </w:pPr>
            <w:r>
              <w:t>Learning Options Programs</w:t>
            </w:r>
          </w:p>
          <w:p w14:paraId="0A2A062B" w14:textId="77777777" w:rsidR="00A92CAC" w:rsidRDefault="00A92CAC" w:rsidP="00A92CAC">
            <w:pPr>
              <w:pStyle w:val="ListParagraph"/>
              <w:numPr>
                <w:ilvl w:val="0"/>
                <w:numId w:val="6"/>
              </w:numPr>
              <w:ind w:left="252" w:hanging="177"/>
            </w:pPr>
            <w:r>
              <w:t>Service Area Programs</w:t>
            </w:r>
          </w:p>
          <w:p w14:paraId="694FB3C0" w14:textId="2E615F66" w:rsidR="00A92CAC" w:rsidRDefault="00A92CAC" w:rsidP="00A92CAC">
            <w:pPr>
              <w:pStyle w:val="ListParagraph"/>
              <w:numPr>
                <w:ilvl w:val="0"/>
                <w:numId w:val="6"/>
              </w:numPr>
              <w:ind w:left="252" w:hanging="177"/>
            </w:pPr>
            <w:r>
              <w:t xml:space="preserve">Other Programs </w:t>
            </w:r>
          </w:p>
        </w:tc>
        <w:tc>
          <w:tcPr>
            <w:tcW w:w="1980" w:type="dxa"/>
          </w:tcPr>
          <w:p w14:paraId="6CD489BF" w14:textId="77777777" w:rsidR="00BD0907" w:rsidRDefault="00A92CAC" w:rsidP="00A92CAC">
            <w:r>
              <w:t>Faculty, staff, administrator feedback</w:t>
            </w:r>
          </w:p>
          <w:p w14:paraId="393A0E1B" w14:textId="77777777" w:rsidR="00A92CAC" w:rsidRDefault="00A92CAC" w:rsidP="00A92CAC"/>
          <w:p w14:paraId="31AFB401" w14:textId="4F1B7E99" w:rsidR="00A92CAC" w:rsidRDefault="00A92CAC" w:rsidP="00A92CAC"/>
        </w:tc>
        <w:tc>
          <w:tcPr>
            <w:tcW w:w="1620" w:type="dxa"/>
          </w:tcPr>
          <w:p w14:paraId="190548AD" w14:textId="058AE8A4" w:rsidR="00A92CAC" w:rsidRDefault="00A92CAC" w:rsidP="00A92CAC">
            <w:r>
              <w:t>Office of Student Learning</w:t>
            </w:r>
          </w:p>
          <w:p w14:paraId="7AC1DA14" w14:textId="77777777" w:rsidR="00A92CAC" w:rsidRDefault="00A92CAC" w:rsidP="00A92CAC"/>
          <w:p w14:paraId="691FB3C7" w14:textId="77777777" w:rsidR="00BD0907" w:rsidRDefault="00A92CAC" w:rsidP="00A92CAC">
            <w:r>
              <w:t>Academic Senate</w:t>
            </w:r>
          </w:p>
          <w:p w14:paraId="0040BE9A" w14:textId="77777777" w:rsidR="00A92CAC" w:rsidRDefault="00A92CAC" w:rsidP="00A92CAC"/>
          <w:p w14:paraId="4EDCBD3C" w14:textId="21111DFF" w:rsidR="00A92CAC" w:rsidRDefault="00A92CAC" w:rsidP="00A92CAC">
            <w:r>
              <w:t xml:space="preserve">Committee </w:t>
            </w:r>
            <w:r w:rsidR="003947C2">
              <w:t xml:space="preserve">and Workgroup </w:t>
            </w:r>
            <w:r>
              <w:t>Representatives</w:t>
            </w:r>
          </w:p>
          <w:p w14:paraId="28B88805" w14:textId="2EC57D26" w:rsidR="003947C2" w:rsidRDefault="003947C2" w:rsidP="00A92CAC">
            <w:r>
              <w:t xml:space="preserve"> </w:t>
            </w:r>
          </w:p>
          <w:p w14:paraId="47D0E904" w14:textId="2BBF68AE" w:rsidR="00A92CAC" w:rsidRDefault="00A92CAC" w:rsidP="00A92CAC"/>
        </w:tc>
        <w:tc>
          <w:tcPr>
            <w:tcW w:w="1188" w:type="dxa"/>
          </w:tcPr>
          <w:p w14:paraId="3C994961" w14:textId="695EEAAD" w:rsidR="00BD0907" w:rsidRDefault="003947C2" w:rsidP="00A92CAC">
            <w:r>
              <w:t>Fall 2016</w:t>
            </w:r>
          </w:p>
        </w:tc>
      </w:tr>
      <w:tr w:rsidR="003947C2" w14:paraId="18375A08" w14:textId="77777777" w:rsidTr="003947C2">
        <w:tc>
          <w:tcPr>
            <w:tcW w:w="1278" w:type="dxa"/>
          </w:tcPr>
          <w:p w14:paraId="399288D8" w14:textId="2AA4946A" w:rsidR="00BD0907" w:rsidRDefault="00224B40" w:rsidP="003947C2">
            <w:r>
              <w:t>1B</w:t>
            </w:r>
          </w:p>
        </w:tc>
        <w:tc>
          <w:tcPr>
            <w:tcW w:w="3510" w:type="dxa"/>
          </w:tcPr>
          <w:p w14:paraId="4598A806" w14:textId="31477515" w:rsidR="00BD0907" w:rsidRPr="003947C2" w:rsidRDefault="003947C2" w:rsidP="003947C2">
            <w:r>
              <w:t xml:space="preserve">Provide Addendum to </w:t>
            </w:r>
            <w:r>
              <w:rPr>
                <w:i/>
              </w:rPr>
              <w:t>Making Decisions at Moorpark College</w:t>
            </w:r>
            <w:r>
              <w:t xml:space="preserve"> identifying Programs that will be expected to submit Program Plans or Action Plans (i.e., Student Equity Plan)</w:t>
            </w:r>
          </w:p>
        </w:tc>
        <w:tc>
          <w:tcPr>
            <w:tcW w:w="1980" w:type="dxa"/>
          </w:tcPr>
          <w:p w14:paraId="0C72DB0E" w14:textId="1CBEB9FA" w:rsidR="00BD0907" w:rsidRPr="003947C2" w:rsidRDefault="003947C2" w:rsidP="003947C2">
            <w:r>
              <w:t xml:space="preserve">Updated </w:t>
            </w:r>
            <w:r>
              <w:rPr>
                <w:i/>
              </w:rPr>
              <w:t>Making Decisions at Moorpark College</w:t>
            </w:r>
          </w:p>
        </w:tc>
        <w:tc>
          <w:tcPr>
            <w:tcW w:w="1620" w:type="dxa"/>
          </w:tcPr>
          <w:p w14:paraId="5BF15B2C" w14:textId="77777777" w:rsidR="00BD0907" w:rsidRDefault="003947C2" w:rsidP="003947C2">
            <w:r>
              <w:t>Office of Student Learning</w:t>
            </w:r>
          </w:p>
          <w:p w14:paraId="1E46BB90" w14:textId="77777777" w:rsidR="003947C2" w:rsidRDefault="003947C2" w:rsidP="003947C2"/>
          <w:p w14:paraId="3D297209" w14:textId="1A963CEF" w:rsidR="003947C2" w:rsidRDefault="003947C2" w:rsidP="003947C2">
            <w:r>
              <w:t>Academic Senate</w:t>
            </w:r>
          </w:p>
        </w:tc>
        <w:tc>
          <w:tcPr>
            <w:tcW w:w="1188" w:type="dxa"/>
          </w:tcPr>
          <w:p w14:paraId="2D4A58A4" w14:textId="10AC6A74" w:rsidR="00BD0907" w:rsidRDefault="003947C2" w:rsidP="003947C2">
            <w:r>
              <w:t>Fall 2016</w:t>
            </w:r>
          </w:p>
        </w:tc>
      </w:tr>
    </w:tbl>
    <w:p w14:paraId="03DF4B21" w14:textId="55439F65" w:rsidR="00816379" w:rsidRDefault="00816379" w:rsidP="00443D7C"/>
    <w:p w14:paraId="5708FFD6" w14:textId="77777777" w:rsidR="003C2C9F" w:rsidRDefault="003C2C9F">
      <w:pPr>
        <w:rPr>
          <w:i/>
          <w:u w:val="single"/>
        </w:rPr>
      </w:pPr>
      <w:r>
        <w:rPr>
          <w:i/>
          <w:u w:val="single"/>
        </w:rPr>
        <w:br w:type="page"/>
      </w:r>
    </w:p>
    <w:p w14:paraId="576444CF" w14:textId="25B2CA56" w:rsidR="00305566" w:rsidRDefault="00305566" w:rsidP="00443D7C">
      <w:r>
        <w:rPr>
          <w:i/>
          <w:u w:val="single"/>
        </w:rPr>
        <w:lastRenderedPageBreak/>
        <w:t xml:space="preserve">Step 2: </w:t>
      </w:r>
      <w:r w:rsidRPr="00305566">
        <w:rPr>
          <w:i/>
          <w:u w:val="single"/>
        </w:rPr>
        <w:t>Evaluate and optimize template for program plans update or replacement  for TracDat</w:t>
      </w:r>
    </w:p>
    <w:p w14:paraId="1ADA3838" w14:textId="49327881" w:rsidR="00305566" w:rsidRDefault="00305566" w:rsidP="00443D7C">
      <w:r>
        <w:t>The College has been using TracDat as its organization tool for program plans as well as student learning outcomes. This software has recently gone through a major upgrade and the College now is faced with the need to modify its program plan templates. The College will evaluate the capabilities of the new version of TracDat and will determine whether to continue using this software tool or replace this tool with another. Once this decision is made, and once a program plan template is place, the College will</w:t>
      </w:r>
      <w:r w:rsidR="00550A91">
        <w:t xml:space="preserve"> </w:t>
      </w:r>
      <w:r>
        <w:t>develop standardized program plan reports that will be readily available for program faculty, staff and administrators to run at the moment that they need the information.</w:t>
      </w:r>
    </w:p>
    <w:tbl>
      <w:tblPr>
        <w:tblStyle w:val="TableGrid"/>
        <w:tblW w:w="0" w:type="auto"/>
        <w:tblLook w:val="04A0" w:firstRow="1" w:lastRow="0" w:firstColumn="1" w:lastColumn="0" w:noHBand="0" w:noVBand="1"/>
      </w:tblPr>
      <w:tblGrid>
        <w:gridCol w:w="1278"/>
        <w:gridCol w:w="3330"/>
        <w:gridCol w:w="2160"/>
        <w:gridCol w:w="1620"/>
        <w:gridCol w:w="1188"/>
      </w:tblGrid>
      <w:tr w:rsidR="00A92CAC" w14:paraId="36FC60E1" w14:textId="77777777" w:rsidTr="00A25631">
        <w:tc>
          <w:tcPr>
            <w:tcW w:w="1278" w:type="dxa"/>
            <w:vAlign w:val="center"/>
          </w:tcPr>
          <w:p w14:paraId="674E03D3" w14:textId="77777777" w:rsidR="00A92CAC" w:rsidRPr="00BD0907" w:rsidRDefault="00A92CAC" w:rsidP="00A25631">
            <w:pPr>
              <w:jc w:val="center"/>
              <w:rPr>
                <w:b/>
                <w:sz w:val="20"/>
                <w:szCs w:val="20"/>
              </w:rPr>
            </w:pPr>
            <w:r w:rsidRPr="00BD0907">
              <w:rPr>
                <w:b/>
                <w:sz w:val="20"/>
                <w:szCs w:val="20"/>
              </w:rPr>
              <w:t>Relevant Standard(s)</w:t>
            </w:r>
          </w:p>
        </w:tc>
        <w:tc>
          <w:tcPr>
            <w:tcW w:w="3330" w:type="dxa"/>
            <w:vAlign w:val="center"/>
          </w:tcPr>
          <w:p w14:paraId="36F5AAC4" w14:textId="77777777" w:rsidR="00A92CAC" w:rsidRPr="00BD0907" w:rsidRDefault="00A92CAC" w:rsidP="00A25631">
            <w:pPr>
              <w:jc w:val="center"/>
              <w:rPr>
                <w:b/>
                <w:sz w:val="20"/>
                <w:szCs w:val="20"/>
              </w:rPr>
            </w:pPr>
            <w:r w:rsidRPr="00BD0907">
              <w:rPr>
                <w:b/>
                <w:sz w:val="20"/>
                <w:szCs w:val="20"/>
              </w:rPr>
              <w:t>Outcome</w:t>
            </w:r>
          </w:p>
        </w:tc>
        <w:tc>
          <w:tcPr>
            <w:tcW w:w="2160" w:type="dxa"/>
            <w:vAlign w:val="center"/>
          </w:tcPr>
          <w:p w14:paraId="09A4F760" w14:textId="77777777" w:rsidR="00A92CAC" w:rsidRPr="00BD0907" w:rsidRDefault="00A92CAC" w:rsidP="00A25631">
            <w:pPr>
              <w:jc w:val="center"/>
              <w:rPr>
                <w:b/>
                <w:sz w:val="20"/>
                <w:szCs w:val="20"/>
              </w:rPr>
            </w:pPr>
            <w:r w:rsidRPr="00BD0907">
              <w:rPr>
                <w:b/>
                <w:sz w:val="20"/>
                <w:szCs w:val="20"/>
              </w:rPr>
              <w:t>Measures of Progress</w:t>
            </w:r>
          </w:p>
        </w:tc>
        <w:tc>
          <w:tcPr>
            <w:tcW w:w="1620" w:type="dxa"/>
            <w:vAlign w:val="center"/>
          </w:tcPr>
          <w:p w14:paraId="18B2CD02" w14:textId="77777777" w:rsidR="00A92CAC" w:rsidRPr="00BD0907" w:rsidRDefault="00A92CAC" w:rsidP="00A25631">
            <w:pPr>
              <w:jc w:val="center"/>
              <w:rPr>
                <w:b/>
                <w:sz w:val="20"/>
                <w:szCs w:val="20"/>
              </w:rPr>
            </w:pPr>
            <w:r w:rsidRPr="00BD0907">
              <w:rPr>
                <w:b/>
                <w:sz w:val="20"/>
                <w:szCs w:val="20"/>
              </w:rPr>
              <w:t>Responsible Parties</w:t>
            </w:r>
          </w:p>
        </w:tc>
        <w:tc>
          <w:tcPr>
            <w:tcW w:w="1188" w:type="dxa"/>
            <w:vAlign w:val="center"/>
          </w:tcPr>
          <w:p w14:paraId="1E6F82DF" w14:textId="77777777" w:rsidR="00A92CAC" w:rsidRPr="00BD0907" w:rsidRDefault="00A92CAC" w:rsidP="00A25631">
            <w:pPr>
              <w:jc w:val="center"/>
              <w:rPr>
                <w:b/>
                <w:sz w:val="20"/>
                <w:szCs w:val="20"/>
              </w:rPr>
            </w:pPr>
            <w:r w:rsidRPr="00BD0907">
              <w:rPr>
                <w:b/>
                <w:sz w:val="20"/>
                <w:szCs w:val="20"/>
              </w:rPr>
              <w:t>Timeline</w:t>
            </w:r>
          </w:p>
        </w:tc>
      </w:tr>
      <w:tr w:rsidR="00A92CAC" w14:paraId="00624DC2" w14:textId="77777777" w:rsidTr="00C702B6">
        <w:tc>
          <w:tcPr>
            <w:tcW w:w="1278" w:type="dxa"/>
            <w:vAlign w:val="center"/>
          </w:tcPr>
          <w:p w14:paraId="0B1D769A" w14:textId="5CFDB15B" w:rsidR="00A92CAC" w:rsidRDefault="00C702B6" w:rsidP="00C702B6">
            <w:pPr>
              <w:jc w:val="center"/>
            </w:pPr>
            <w:r>
              <w:t>IB</w:t>
            </w:r>
          </w:p>
        </w:tc>
        <w:tc>
          <w:tcPr>
            <w:tcW w:w="3330" w:type="dxa"/>
          </w:tcPr>
          <w:p w14:paraId="045BA3C7" w14:textId="0F3E9F5E" w:rsidR="00A92CAC" w:rsidRDefault="00C702B6" w:rsidP="00C702B6">
            <w:r>
              <w:t>Analyze new and current TracDat features for functionality and reporting tools</w:t>
            </w:r>
          </w:p>
        </w:tc>
        <w:tc>
          <w:tcPr>
            <w:tcW w:w="2160" w:type="dxa"/>
          </w:tcPr>
          <w:p w14:paraId="4AA6B4C0" w14:textId="02CA57B3" w:rsidR="00A92CAC" w:rsidRDefault="00C702B6" w:rsidP="00550A91">
            <w:r>
              <w:t>Analysis Report to be presented to Exec Vice President of Student Learning</w:t>
            </w:r>
            <w:r w:rsidR="00550A91">
              <w:t xml:space="preserve"> and EdCAP</w:t>
            </w:r>
          </w:p>
        </w:tc>
        <w:tc>
          <w:tcPr>
            <w:tcW w:w="1620" w:type="dxa"/>
          </w:tcPr>
          <w:p w14:paraId="78711113" w14:textId="70749FCE" w:rsidR="00A92CAC" w:rsidRDefault="00C702B6" w:rsidP="00C702B6">
            <w:r>
              <w:t>Office of Institutional Research</w:t>
            </w:r>
          </w:p>
        </w:tc>
        <w:tc>
          <w:tcPr>
            <w:tcW w:w="1188" w:type="dxa"/>
          </w:tcPr>
          <w:p w14:paraId="24A8F240" w14:textId="08BAFFCF" w:rsidR="00A92CAC" w:rsidRDefault="00550A91" w:rsidP="00C702B6">
            <w:r>
              <w:t xml:space="preserve">Fall </w:t>
            </w:r>
            <w:r w:rsidR="00C702B6">
              <w:t>2016</w:t>
            </w:r>
          </w:p>
        </w:tc>
      </w:tr>
    </w:tbl>
    <w:p w14:paraId="0F4B903C" w14:textId="77777777" w:rsidR="003C2C9F" w:rsidRDefault="003C2C9F" w:rsidP="00443D7C"/>
    <w:p w14:paraId="6F1F6D3E" w14:textId="1281BA34" w:rsidR="006F38F6" w:rsidRPr="006F38F6" w:rsidRDefault="006F38F6" w:rsidP="00443D7C">
      <w:pPr>
        <w:rPr>
          <w:i/>
          <w:u w:val="single"/>
        </w:rPr>
      </w:pPr>
      <w:r w:rsidRPr="006F38F6">
        <w:rPr>
          <w:i/>
          <w:u w:val="single"/>
        </w:rPr>
        <w:t>Step 3: Provide Professional Development on Program Plan Template and Reports</w:t>
      </w:r>
    </w:p>
    <w:p w14:paraId="47DE926B" w14:textId="464B77B2" w:rsidR="006F38F6" w:rsidRDefault="006F38F6" w:rsidP="00443D7C">
      <w:r>
        <w:t xml:space="preserve">The office of institutional research will collaborate with the Professional Development Committee to provide </w:t>
      </w:r>
      <w:r w:rsidR="00E35DC3">
        <w:t xml:space="preserve">a variety of </w:t>
      </w:r>
      <w:r>
        <w:t>training sessions</w:t>
      </w:r>
      <w:r w:rsidR="00E35DC3">
        <w:t xml:space="preserve"> to faculty, staff and administrators on how to effectively use the program plan software. Training sessions will also include best practices for developing data-driven program improvement plans.</w:t>
      </w:r>
    </w:p>
    <w:tbl>
      <w:tblPr>
        <w:tblStyle w:val="TableGrid"/>
        <w:tblW w:w="0" w:type="auto"/>
        <w:tblLook w:val="04A0" w:firstRow="1" w:lastRow="0" w:firstColumn="1" w:lastColumn="0" w:noHBand="0" w:noVBand="1"/>
      </w:tblPr>
      <w:tblGrid>
        <w:gridCol w:w="1278"/>
        <w:gridCol w:w="3330"/>
        <w:gridCol w:w="2160"/>
        <w:gridCol w:w="1620"/>
        <w:gridCol w:w="1188"/>
      </w:tblGrid>
      <w:tr w:rsidR="00A92CAC" w14:paraId="0EFF2453" w14:textId="77777777" w:rsidTr="00A25631">
        <w:tc>
          <w:tcPr>
            <w:tcW w:w="1278" w:type="dxa"/>
            <w:vAlign w:val="center"/>
          </w:tcPr>
          <w:p w14:paraId="3E5909D4" w14:textId="77777777" w:rsidR="00A92CAC" w:rsidRPr="00BD0907" w:rsidRDefault="00A92CAC" w:rsidP="00A25631">
            <w:pPr>
              <w:jc w:val="center"/>
              <w:rPr>
                <w:b/>
                <w:sz w:val="20"/>
                <w:szCs w:val="20"/>
              </w:rPr>
            </w:pPr>
            <w:r w:rsidRPr="00BD0907">
              <w:rPr>
                <w:b/>
                <w:sz w:val="20"/>
                <w:szCs w:val="20"/>
              </w:rPr>
              <w:t>Relevant Standard(s)</w:t>
            </w:r>
          </w:p>
        </w:tc>
        <w:tc>
          <w:tcPr>
            <w:tcW w:w="3330" w:type="dxa"/>
            <w:vAlign w:val="center"/>
          </w:tcPr>
          <w:p w14:paraId="78DADBE9" w14:textId="77777777" w:rsidR="00A92CAC" w:rsidRPr="00BD0907" w:rsidRDefault="00A92CAC" w:rsidP="00A25631">
            <w:pPr>
              <w:jc w:val="center"/>
              <w:rPr>
                <w:b/>
                <w:sz w:val="20"/>
                <w:szCs w:val="20"/>
              </w:rPr>
            </w:pPr>
            <w:r w:rsidRPr="00BD0907">
              <w:rPr>
                <w:b/>
                <w:sz w:val="20"/>
                <w:szCs w:val="20"/>
              </w:rPr>
              <w:t>Outcome</w:t>
            </w:r>
          </w:p>
        </w:tc>
        <w:tc>
          <w:tcPr>
            <w:tcW w:w="2160" w:type="dxa"/>
            <w:vAlign w:val="center"/>
          </w:tcPr>
          <w:p w14:paraId="7F3367EF" w14:textId="77777777" w:rsidR="00A92CAC" w:rsidRPr="00BD0907" w:rsidRDefault="00A92CAC" w:rsidP="00A25631">
            <w:pPr>
              <w:jc w:val="center"/>
              <w:rPr>
                <w:b/>
                <w:sz w:val="20"/>
                <w:szCs w:val="20"/>
              </w:rPr>
            </w:pPr>
            <w:r w:rsidRPr="00BD0907">
              <w:rPr>
                <w:b/>
                <w:sz w:val="20"/>
                <w:szCs w:val="20"/>
              </w:rPr>
              <w:t>Measures of Progress</w:t>
            </w:r>
          </w:p>
        </w:tc>
        <w:tc>
          <w:tcPr>
            <w:tcW w:w="1620" w:type="dxa"/>
            <w:vAlign w:val="center"/>
          </w:tcPr>
          <w:p w14:paraId="72274A69" w14:textId="77777777" w:rsidR="00A92CAC" w:rsidRPr="00BD0907" w:rsidRDefault="00A92CAC" w:rsidP="00A25631">
            <w:pPr>
              <w:jc w:val="center"/>
              <w:rPr>
                <w:b/>
                <w:sz w:val="20"/>
                <w:szCs w:val="20"/>
              </w:rPr>
            </w:pPr>
            <w:r w:rsidRPr="00BD0907">
              <w:rPr>
                <w:b/>
                <w:sz w:val="20"/>
                <w:szCs w:val="20"/>
              </w:rPr>
              <w:t>Responsible Parties</w:t>
            </w:r>
          </w:p>
        </w:tc>
        <w:tc>
          <w:tcPr>
            <w:tcW w:w="1188" w:type="dxa"/>
            <w:vAlign w:val="center"/>
          </w:tcPr>
          <w:p w14:paraId="685E9175" w14:textId="77777777" w:rsidR="00A92CAC" w:rsidRPr="00BD0907" w:rsidRDefault="00A92CAC" w:rsidP="00A25631">
            <w:pPr>
              <w:jc w:val="center"/>
              <w:rPr>
                <w:b/>
                <w:sz w:val="20"/>
                <w:szCs w:val="20"/>
              </w:rPr>
            </w:pPr>
            <w:r w:rsidRPr="00BD0907">
              <w:rPr>
                <w:b/>
                <w:sz w:val="20"/>
                <w:szCs w:val="20"/>
              </w:rPr>
              <w:t>Timeline</w:t>
            </w:r>
          </w:p>
        </w:tc>
      </w:tr>
      <w:tr w:rsidR="00A92CAC" w14:paraId="19E9834B" w14:textId="77777777" w:rsidTr="00AA490C">
        <w:tc>
          <w:tcPr>
            <w:tcW w:w="1278" w:type="dxa"/>
            <w:vAlign w:val="center"/>
          </w:tcPr>
          <w:p w14:paraId="6D21506D" w14:textId="773ED834" w:rsidR="00A92CAC" w:rsidRDefault="00AA490C" w:rsidP="00AA490C">
            <w:pPr>
              <w:jc w:val="center"/>
            </w:pPr>
            <w:r>
              <w:t>3</w:t>
            </w:r>
            <w:r w:rsidR="00731A8A">
              <w:t>.</w:t>
            </w:r>
            <w:r>
              <w:t xml:space="preserve">A </w:t>
            </w:r>
          </w:p>
        </w:tc>
        <w:tc>
          <w:tcPr>
            <w:tcW w:w="3330" w:type="dxa"/>
          </w:tcPr>
          <w:p w14:paraId="3217625B" w14:textId="70ABD6A4" w:rsidR="00A92CAC" w:rsidRDefault="00AA490C" w:rsidP="00AA490C">
            <w:r>
              <w:t>Offer professional development training sessions on using program planning software</w:t>
            </w:r>
          </w:p>
        </w:tc>
        <w:tc>
          <w:tcPr>
            <w:tcW w:w="2160" w:type="dxa"/>
          </w:tcPr>
          <w:p w14:paraId="3B856D11" w14:textId="77777777" w:rsidR="00A92CAC" w:rsidRDefault="00AA490C" w:rsidP="00AA490C">
            <w:r>
              <w:t>Training Schedule</w:t>
            </w:r>
          </w:p>
          <w:p w14:paraId="7450E2A8" w14:textId="5E143493" w:rsidR="00AA490C" w:rsidRDefault="00AA490C" w:rsidP="00AA490C">
            <w:r>
              <w:t>Attendance Records</w:t>
            </w:r>
          </w:p>
          <w:p w14:paraId="4625012B" w14:textId="455BF849" w:rsidR="00AA490C" w:rsidRDefault="00AA490C" w:rsidP="00AA490C">
            <w:r>
              <w:t>Satisfaction Surveys</w:t>
            </w:r>
          </w:p>
        </w:tc>
        <w:tc>
          <w:tcPr>
            <w:tcW w:w="1620" w:type="dxa"/>
          </w:tcPr>
          <w:p w14:paraId="14AAACBC" w14:textId="4831DAAC" w:rsidR="00A92CAC" w:rsidRDefault="00AA490C" w:rsidP="00AA490C">
            <w:r>
              <w:t>Office of Institutional Research</w:t>
            </w:r>
          </w:p>
        </w:tc>
        <w:tc>
          <w:tcPr>
            <w:tcW w:w="1188" w:type="dxa"/>
          </w:tcPr>
          <w:p w14:paraId="72B1612A" w14:textId="3B9EC835" w:rsidR="00A92CAC" w:rsidRDefault="00AA490C" w:rsidP="00AA490C">
            <w:r>
              <w:t>Ongoing Starting in Fall 2016</w:t>
            </w:r>
          </w:p>
        </w:tc>
      </w:tr>
      <w:tr w:rsidR="00A92CAC" w14:paraId="217DDB01" w14:textId="77777777" w:rsidTr="00AA490C">
        <w:tc>
          <w:tcPr>
            <w:tcW w:w="1278" w:type="dxa"/>
            <w:vAlign w:val="center"/>
          </w:tcPr>
          <w:p w14:paraId="2E5E9177" w14:textId="40F935FB" w:rsidR="00A92CAC" w:rsidRDefault="00AA490C" w:rsidP="00AA490C">
            <w:pPr>
              <w:jc w:val="center"/>
            </w:pPr>
            <w:r>
              <w:t>3</w:t>
            </w:r>
            <w:r w:rsidR="00731A8A">
              <w:t>.</w:t>
            </w:r>
            <w:r>
              <w:t>A</w:t>
            </w:r>
          </w:p>
        </w:tc>
        <w:tc>
          <w:tcPr>
            <w:tcW w:w="3330" w:type="dxa"/>
          </w:tcPr>
          <w:p w14:paraId="7CFF4510" w14:textId="74C0CB39" w:rsidR="00A92CAC" w:rsidRDefault="00AA490C" w:rsidP="00AA490C">
            <w:r>
              <w:t>Offer professional development on best practices for developing data-driven program improvement plans</w:t>
            </w:r>
          </w:p>
        </w:tc>
        <w:tc>
          <w:tcPr>
            <w:tcW w:w="2160" w:type="dxa"/>
          </w:tcPr>
          <w:p w14:paraId="7FC742A7" w14:textId="77777777" w:rsidR="00A92CAC" w:rsidRDefault="00AA490C" w:rsidP="00AA490C">
            <w:r>
              <w:t>Training Schedule</w:t>
            </w:r>
          </w:p>
          <w:p w14:paraId="1A54ED77" w14:textId="77777777" w:rsidR="00AA490C" w:rsidRDefault="00AA490C" w:rsidP="00AA490C">
            <w:r>
              <w:t>Attendance Records</w:t>
            </w:r>
          </w:p>
          <w:p w14:paraId="680977E9" w14:textId="4726BE2E" w:rsidR="00AA490C" w:rsidRDefault="00AA490C" w:rsidP="00AA490C">
            <w:r>
              <w:t>Satisfaction Surveys</w:t>
            </w:r>
          </w:p>
        </w:tc>
        <w:tc>
          <w:tcPr>
            <w:tcW w:w="1620" w:type="dxa"/>
          </w:tcPr>
          <w:p w14:paraId="345ABD48" w14:textId="77777777" w:rsidR="00A92CAC" w:rsidRDefault="00AA490C" w:rsidP="00AA490C">
            <w:r>
              <w:t>Faculty, staff, and administrators</w:t>
            </w:r>
          </w:p>
          <w:p w14:paraId="11B9D931" w14:textId="77777777" w:rsidR="00AA490C" w:rsidRDefault="00AA490C" w:rsidP="00AA490C"/>
          <w:p w14:paraId="4E4A24A6" w14:textId="21CDD6B0" w:rsidR="00AA490C" w:rsidRDefault="00AA490C" w:rsidP="00AA490C">
            <w:r>
              <w:t>Office of Institutional Research</w:t>
            </w:r>
          </w:p>
        </w:tc>
        <w:tc>
          <w:tcPr>
            <w:tcW w:w="1188" w:type="dxa"/>
          </w:tcPr>
          <w:p w14:paraId="0D6CC994" w14:textId="5EC6FB1B" w:rsidR="00A92CAC" w:rsidRDefault="00AA490C" w:rsidP="00AA490C">
            <w:r>
              <w:t>Ongoing Starting in Spring 2017</w:t>
            </w:r>
          </w:p>
        </w:tc>
      </w:tr>
      <w:tr w:rsidR="00915B5B" w14:paraId="52437BF0" w14:textId="77777777" w:rsidTr="00AA490C">
        <w:tc>
          <w:tcPr>
            <w:tcW w:w="1278" w:type="dxa"/>
            <w:vAlign w:val="center"/>
          </w:tcPr>
          <w:p w14:paraId="548D5AE1" w14:textId="3398B806" w:rsidR="00915B5B" w:rsidRDefault="00915B5B" w:rsidP="00AA490C">
            <w:pPr>
              <w:jc w:val="center"/>
            </w:pPr>
            <w:r>
              <w:t>3</w:t>
            </w:r>
            <w:r w:rsidR="00731A8A">
              <w:t>.</w:t>
            </w:r>
            <w:r>
              <w:t>A</w:t>
            </w:r>
          </w:p>
        </w:tc>
        <w:tc>
          <w:tcPr>
            <w:tcW w:w="3330" w:type="dxa"/>
          </w:tcPr>
          <w:p w14:paraId="4DE43B56" w14:textId="66FF50B5" w:rsidR="00915B5B" w:rsidRDefault="00915B5B" w:rsidP="00AA490C">
            <w:r>
              <w:t>Develop “How-To” Videos Using Camtasia Software</w:t>
            </w:r>
          </w:p>
        </w:tc>
        <w:tc>
          <w:tcPr>
            <w:tcW w:w="2160" w:type="dxa"/>
          </w:tcPr>
          <w:p w14:paraId="6BC81701" w14:textId="77777777" w:rsidR="00915B5B" w:rsidRDefault="00915B5B" w:rsidP="00AA490C">
            <w:r>
              <w:t>Usage Reports</w:t>
            </w:r>
          </w:p>
          <w:p w14:paraId="47C524AA" w14:textId="640FCFF1" w:rsidR="00915B5B" w:rsidRDefault="00915B5B" w:rsidP="00AA490C">
            <w:r>
              <w:t>Satisfaction Surveys</w:t>
            </w:r>
          </w:p>
        </w:tc>
        <w:tc>
          <w:tcPr>
            <w:tcW w:w="1620" w:type="dxa"/>
          </w:tcPr>
          <w:p w14:paraId="711C601A" w14:textId="0036C706" w:rsidR="00915B5B" w:rsidRDefault="00915B5B" w:rsidP="00AA490C">
            <w:r>
              <w:t>Office of Institutional Research</w:t>
            </w:r>
          </w:p>
        </w:tc>
        <w:tc>
          <w:tcPr>
            <w:tcW w:w="1188" w:type="dxa"/>
          </w:tcPr>
          <w:p w14:paraId="689FB72F" w14:textId="507DE148" w:rsidR="00915B5B" w:rsidRDefault="00915B5B" w:rsidP="00AA490C">
            <w:r>
              <w:t>Spring 2017</w:t>
            </w:r>
          </w:p>
        </w:tc>
      </w:tr>
    </w:tbl>
    <w:p w14:paraId="76A089BF" w14:textId="76277DBE" w:rsidR="00816379" w:rsidRPr="00305566" w:rsidRDefault="00816379" w:rsidP="00443D7C"/>
    <w:p w14:paraId="736950F8" w14:textId="77777777" w:rsidR="003C2C9F" w:rsidRDefault="003C2C9F">
      <w:pPr>
        <w:rPr>
          <w:i/>
          <w:u w:val="single"/>
        </w:rPr>
      </w:pPr>
      <w:r>
        <w:rPr>
          <w:i/>
          <w:u w:val="single"/>
        </w:rPr>
        <w:br w:type="page"/>
      </w:r>
    </w:p>
    <w:p w14:paraId="12A129E3" w14:textId="64A39A74" w:rsidR="00443D7C" w:rsidRDefault="00443D7C" w:rsidP="00443D7C">
      <w:r w:rsidRPr="00443D7C">
        <w:rPr>
          <w:i/>
          <w:u w:val="single"/>
        </w:rPr>
        <w:lastRenderedPageBreak/>
        <w:t xml:space="preserve">Step </w:t>
      </w:r>
      <w:r w:rsidR="00A92CAC">
        <w:rPr>
          <w:i/>
          <w:u w:val="single"/>
        </w:rPr>
        <w:t>4</w:t>
      </w:r>
      <w:r w:rsidRPr="00443D7C">
        <w:rPr>
          <w:i/>
          <w:u w:val="single"/>
        </w:rPr>
        <w:t xml:space="preserve">: Identify </w:t>
      </w:r>
      <w:r>
        <w:rPr>
          <w:i/>
          <w:u w:val="single"/>
        </w:rPr>
        <w:t xml:space="preserve">and Define Data Needs for </w:t>
      </w:r>
      <w:r w:rsidRPr="00443D7C">
        <w:rPr>
          <w:i/>
          <w:u w:val="single"/>
        </w:rPr>
        <w:t>College Programs</w:t>
      </w:r>
    </w:p>
    <w:p w14:paraId="3B7CA726" w14:textId="34D6407E" w:rsidR="00443D7C" w:rsidRPr="00443D7C" w:rsidRDefault="00443D7C" w:rsidP="00443D7C">
      <w:r>
        <w:t xml:space="preserve">Once the College programs are defined, the office of institutional research will begin conducting a needs assessment to determine the </w:t>
      </w:r>
      <w:r w:rsidR="00BA3A3E">
        <w:t xml:space="preserve">variety of data needs that exist across the college. Different types of programs will require access to different data elements; for example, instructional programs need access to productivity (525) data and student success and achievement data for their specific subject areas, where student service programs need access to college-level student success and achievement data. </w:t>
      </w:r>
    </w:p>
    <w:tbl>
      <w:tblPr>
        <w:tblStyle w:val="TableGrid"/>
        <w:tblW w:w="0" w:type="auto"/>
        <w:tblLook w:val="04A0" w:firstRow="1" w:lastRow="0" w:firstColumn="1" w:lastColumn="0" w:noHBand="0" w:noVBand="1"/>
      </w:tblPr>
      <w:tblGrid>
        <w:gridCol w:w="1278"/>
        <w:gridCol w:w="3330"/>
        <w:gridCol w:w="2160"/>
        <w:gridCol w:w="1620"/>
        <w:gridCol w:w="1188"/>
      </w:tblGrid>
      <w:tr w:rsidR="003C2C9F" w14:paraId="0BA21693" w14:textId="77777777" w:rsidTr="00A25631">
        <w:tc>
          <w:tcPr>
            <w:tcW w:w="1278" w:type="dxa"/>
            <w:vAlign w:val="center"/>
          </w:tcPr>
          <w:p w14:paraId="4ACE1288" w14:textId="77777777" w:rsidR="003C2C9F" w:rsidRPr="00BD0907" w:rsidRDefault="003C2C9F" w:rsidP="00A25631">
            <w:pPr>
              <w:jc w:val="center"/>
              <w:rPr>
                <w:b/>
                <w:sz w:val="20"/>
                <w:szCs w:val="20"/>
              </w:rPr>
            </w:pPr>
            <w:r w:rsidRPr="00BD0907">
              <w:rPr>
                <w:b/>
                <w:sz w:val="20"/>
                <w:szCs w:val="20"/>
              </w:rPr>
              <w:t>Relevant Standard(s)</w:t>
            </w:r>
          </w:p>
        </w:tc>
        <w:tc>
          <w:tcPr>
            <w:tcW w:w="3330" w:type="dxa"/>
            <w:vAlign w:val="center"/>
          </w:tcPr>
          <w:p w14:paraId="5EA9D594" w14:textId="77777777" w:rsidR="003C2C9F" w:rsidRPr="00BD0907" w:rsidRDefault="003C2C9F" w:rsidP="00A25631">
            <w:pPr>
              <w:jc w:val="center"/>
              <w:rPr>
                <w:b/>
                <w:sz w:val="20"/>
                <w:szCs w:val="20"/>
              </w:rPr>
            </w:pPr>
            <w:r w:rsidRPr="00BD0907">
              <w:rPr>
                <w:b/>
                <w:sz w:val="20"/>
                <w:szCs w:val="20"/>
              </w:rPr>
              <w:t>Outcome</w:t>
            </w:r>
          </w:p>
        </w:tc>
        <w:tc>
          <w:tcPr>
            <w:tcW w:w="2160" w:type="dxa"/>
            <w:vAlign w:val="center"/>
          </w:tcPr>
          <w:p w14:paraId="3473775E" w14:textId="77777777" w:rsidR="003C2C9F" w:rsidRPr="00BD0907" w:rsidRDefault="003C2C9F" w:rsidP="00A25631">
            <w:pPr>
              <w:jc w:val="center"/>
              <w:rPr>
                <w:b/>
                <w:sz w:val="20"/>
                <w:szCs w:val="20"/>
              </w:rPr>
            </w:pPr>
            <w:r w:rsidRPr="00BD0907">
              <w:rPr>
                <w:b/>
                <w:sz w:val="20"/>
                <w:szCs w:val="20"/>
              </w:rPr>
              <w:t>Measures of Progress</w:t>
            </w:r>
          </w:p>
        </w:tc>
        <w:tc>
          <w:tcPr>
            <w:tcW w:w="1620" w:type="dxa"/>
            <w:vAlign w:val="center"/>
          </w:tcPr>
          <w:p w14:paraId="4CB71A81" w14:textId="77777777" w:rsidR="003C2C9F" w:rsidRPr="00BD0907" w:rsidRDefault="003C2C9F" w:rsidP="00A25631">
            <w:pPr>
              <w:jc w:val="center"/>
              <w:rPr>
                <w:b/>
                <w:sz w:val="20"/>
                <w:szCs w:val="20"/>
              </w:rPr>
            </w:pPr>
            <w:r w:rsidRPr="00BD0907">
              <w:rPr>
                <w:b/>
                <w:sz w:val="20"/>
                <w:szCs w:val="20"/>
              </w:rPr>
              <w:t>Responsible Parties</w:t>
            </w:r>
          </w:p>
        </w:tc>
        <w:tc>
          <w:tcPr>
            <w:tcW w:w="1188" w:type="dxa"/>
            <w:vAlign w:val="center"/>
          </w:tcPr>
          <w:p w14:paraId="27809A09" w14:textId="77777777" w:rsidR="003C2C9F" w:rsidRPr="00BD0907" w:rsidRDefault="003C2C9F" w:rsidP="00A25631">
            <w:pPr>
              <w:jc w:val="center"/>
              <w:rPr>
                <w:b/>
                <w:sz w:val="20"/>
                <w:szCs w:val="20"/>
              </w:rPr>
            </w:pPr>
            <w:r w:rsidRPr="00BD0907">
              <w:rPr>
                <w:b/>
                <w:sz w:val="20"/>
                <w:szCs w:val="20"/>
              </w:rPr>
              <w:t>Timeline</w:t>
            </w:r>
          </w:p>
        </w:tc>
      </w:tr>
      <w:tr w:rsidR="00224B40" w14:paraId="62A99641" w14:textId="77777777" w:rsidTr="00DB482D">
        <w:tc>
          <w:tcPr>
            <w:tcW w:w="1278" w:type="dxa"/>
          </w:tcPr>
          <w:p w14:paraId="6448CDEE" w14:textId="5E3D7859" w:rsidR="00224B40" w:rsidRDefault="00224B40" w:rsidP="00224B40">
            <w:pPr>
              <w:jc w:val="center"/>
            </w:pPr>
            <w:r>
              <w:t>3</w:t>
            </w:r>
            <w:r w:rsidR="00731A8A">
              <w:t>.</w:t>
            </w:r>
            <w:r>
              <w:t>D</w:t>
            </w:r>
          </w:p>
        </w:tc>
        <w:tc>
          <w:tcPr>
            <w:tcW w:w="3330" w:type="dxa"/>
          </w:tcPr>
          <w:p w14:paraId="58111D12" w14:textId="61036F1F" w:rsidR="00224B40" w:rsidRDefault="00224B40" w:rsidP="00224B40">
            <w:r>
              <w:t>Collaborate with programs on specific research needs</w:t>
            </w:r>
          </w:p>
        </w:tc>
        <w:tc>
          <w:tcPr>
            <w:tcW w:w="2160" w:type="dxa"/>
          </w:tcPr>
          <w:p w14:paraId="5BCAEA87" w14:textId="77777777" w:rsidR="00224B40" w:rsidRDefault="00224B40" w:rsidP="00224B40">
            <w:r>
              <w:t xml:space="preserve">Number of appointments </w:t>
            </w:r>
          </w:p>
          <w:p w14:paraId="7446B354" w14:textId="77777777" w:rsidR="00224B40" w:rsidRDefault="00224B40" w:rsidP="00224B40"/>
          <w:p w14:paraId="2D422C14" w14:textId="129416F6" w:rsidR="00224B40" w:rsidRDefault="00224B40" w:rsidP="00224B40">
            <w:r>
              <w:t>Number of data request</w:t>
            </w:r>
          </w:p>
        </w:tc>
        <w:tc>
          <w:tcPr>
            <w:tcW w:w="1620" w:type="dxa"/>
          </w:tcPr>
          <w:p w14:paraId="5EA1CA04" w14:textId="56418DA5" w:rsidR="00224B40" w:rsidRDefault="00224B40" w:rsidP="00224B40">
            <w:r>
              <w:t>Office of Institutional Research</w:t>
            </w:r>
          </w:p>
        </w:tc>
        <w:tc>
          <w:tcPr>
            <w:tcW w:w="1188" w:type="dxa"/>
          </w:tcPr>
          <w:p w14:paraId="7FCFD19E" w14:textId="2BE3C836" w:rsidR="00224B40" w:rsidRDefault="00224B40" w:rsidP="00224B40">
            <w:r>
              <w:t>Spring 2017</w:t>
            </w:r>
          </w:p>
        </w:tc>
      </w:tr>
    </w:tbl>
    <w:p w14:paraId="7827337B" w14:textId="7430B913" w:rsidR="003C2C9F" w:rsidRDefault="003C2C9F"/>
    <w:p w14:paraId="0191ADFF" w14:textId="69D44D27" w:rsidR="003C2C9F" w:rsidRDefault="003C2C9F" w:rsidP="003C2C9F">
      <w:r w:rsidRPr="00443D7C">
        <w:rPr>
          <w:i/>
          <w:u w:val="single"/>
        </w:rPr>
        <w:t xml:space="preserve">Step </w:t>
      </w:r>
      <w:r>
        <w:rPr>
          <w:i/>
          <w:u w:val="single"/>
        </w:rPr>
        <w:t>5</w:t>
      </w:r>
      <w:r w:rsidRPr="00443D7C">
        <w:rPr>
          <w:i/>
          <w:u w:val="single"/>
        </w:rPr>
        <w:t xml:space="preserve">: Identify </w:t>
      </w:r>
      <w:r>
        <w:rPr>
          <w:i/>
          <w:u w:val="single"/>
        </w:rPr>
        <w:t>and Define Data Needs for College Initiatives</w:t>
      </w:r>
    </w:p>
    <w:p w14:paraId="1B7E9FC1" w14:textId="77777777" w:rsidR="003C2C9F" w:rsidRDefault="003C2C9F" w:rsidP="003C2C9F">
      <w:r>
        <w:t>A variety of data are needed for effective college-level planning, in addition to program-level planning. The office of institutional research will collaborate with college wide planning groups, councils and committees to determine the kinds of data that are needed to support planning and development of programs and activities. These programs of activities currently include:</w:t>
      </w:r>
    </w:p>
    <w:p w14:paraId="1D722BD7" w14:textId="77777777" w:rsidR="003C2C9F" w:rsidRDefault="003C2C9F" w:rsidP="003C2C9F">
      <w:pPr>
        <w:pStyle w:val="ListParagraph"/>
        <w:numPr>
          <w:ilvl w:val="0"/>
          <w:numId w:val="7"/>
        </w:numPr>
      </w:pPr>
      <w:r>
        <w:t>Developing K-12 pathways</w:t>
      </w:r>
    </w:p>
    <w:p w14:paraId="43AD7464" w14:textId="77777777" w:rsidR="003C2C9F" w:rsidRDefault="003C2C9F" w:rsidP="003C2C9F">
      <w:pPr>
        <w:pStyle w:val="ListParagraph"/>
        <w:numPr>
          <w:ilvl w:val="0"/>
          <w:numId w:val="7"/>
        </w:numPr>
      </w:pPr>
      <w:r>
        <w:t>Supporting Career Technical Education Program Development and Evaluation</w:t>
      </w:r>
    </w:p>
    <w:p w14:paraId="3A494515" w14:textId="77777777" w:rsidR="003C2C9F" w:rsidRDefault="003C2C9F" w:rsidP="003C2C9F">
      <w:pPr>
        <w:pStyle w:val="ListParagraph"/>
        <w:numPr>
          <w:ilvl w:val="0"/>
          <w:numId w:val="7"/>
        </w:numPr>
      </w:pPr>
      <w:r>
        <w:t>Analysis of L</w:t>
      </w:r>
      <w:r w:rsidRPr="00182341">
        <w:t xml:space="preserve">abor </w:t>
      </w:r>
      <w:r>
        <w:t>M</w:t>
      </w:r>
      <w:r w:rsidRPr="00182341">
        <w:t xml:space="preserve">arket </w:t>
      </w:r>
      <w:r>
        <w:t>Information and C</w:t>
      </w:r>
      <w:r w:rsidRPr="00182341">
        <w:t xml:space="preserve">ommunity </w:t>
      </w:r>
      <w:r>
        <w:t>N</w:t>
      </w:r>
      <w:r w:rsidRPr="00182341">
        <w:t>eeds</w:t>
      </w:r>
    </w:p>
    <w:p w14:paraId="00BF0BF6" w14:textId="77777777" w:rsidR="003C2C9F" w:rsidRDefault="003C2C9F" w:rsidP="003C2C9F">
      <w:pPr>
        <w:pStyle w:val="ListParagraph"/>
        <w:numPr>
          <w:ilvl w:val="0"/>
          <w:numId w:val="7"/>
        </w:numPr>
      </w:pPr>
      <w:r>
        <w:t>Supporting B</w:t>
      </w:r>
      <w:r w:rsidRPr="00182341">
        <w:t xml:space="preserve">asic </w:t>
      </w:r>
      <w:r>
        <w:t>S</w:t>
      </w:r>
      <w:r w:rsidRPr="00182341">
        <w:t>kills</w:t>
      </w:r>
      <w:r>
        <w:t xml:space="preserve"> Program Development </w:t>
      </w:r>
    </w:p>
    <w:p w14:paraId="4CCCC37D" w14:textId="6C2E417E" w:rsidR="003C2C9F" w:rsidRPr="00443D7C" w:rsidRDefault="003C2C9F" w:rsidP="003C2C9F">
      <w:pPr>
        <w:pStyle w:val="ListParagraph"/>
        <w:numPr>
          <w:ilvl w:val="0"/>
          <w:numId w:val="7"/>
        </w:numPr>
      </w:pPr>
      <w:r>
        <w:t xml:space="preserve">Developing Additional </w:t>
      </w:r>
      <w:r w:rsidRPr="00182341">
        <w:t>P</w:t>
      </w:r>
      <w:r>
        <w:t>-</w:t>
      </w:r>
      <w:r w:rsidRPr="00182341">
        <w:t xml:space="preserve">20 </w:t>
      </w:r>
      <w:r>
        <w:t>E</w:t>
      </w:r>
      <w:r w:rsidRPr="00182341">
        <w:t xml:space="preserve">ducational </w:t>
      </w:r>
      <w:r>
        <w:t>P</w:t>
      </w:r>
      <w:r w:rsidRPr="00182341">
        <w:t>rograms</w:t>
      </w:r>
      <w:r>
        <w:t xml:space="preserve"> (Pre-School through Higher Education)</w:t>
      </w:r>
    </w:p>
    <w:tbl>
      <w:tblPr>
        <w:tblStyle w:val="TableGrid"/>
        <w:tblW w:w="10993" w:type="dxa"/>
        <w:tblLook w:val="04A0" w:firstRow="1" w:lastRow="0" w:firstColumn="1" w:lastColumn="0" w:noHBand="0" w:noVBand="1"/>
      </w:tblPr>
      <w:tblGrid>
        <w:gridCol w:w="1278"/>
        <w:gridCol w:w="3330"/>
        <w:gridCol w:w="2160"/>
        <w:gridCol w:w="1620"/>
        <w:gridCol w:w="1188"/>
        <w:gridCol w:w="1417"/>
      </w:tblGrid>
      <w:tr w:rsidR="003C2C9F" w14:paraId="61F31E4E" w14:textId="77777777" w:rsidTr="00731A8A">
        <w:trPr>
          <w:gridAfter w:val="1"/>
          <w:wAfter w:w="1417" w:type="dxa"/>
        </w:trPr>
        <w:tc>
          <w:tcPr>
            <w:tcW w:w="1278" w:type="dxa"/>
            <w:vAlign w:val="center"/>
          </w:tcPr>
          <w:p w14:paraId="6674608F" w14:textId="77777777" w:rsidR="003C2C9F" w:rsidRPr="00BD0907" w:rsidRDefault="003C2C9F" w:rsidP="00A25631">
            <w:pPr>
              <w:jc w:val="center"/>
              <w:rPr>
                <w:b/>
                <w:sz w:val="20"/>
                <w:szCs w:val="20"/>
              </w:rPr>
            </w:pPr>
            <w:r w:rsidRPr="00BD0907">
              <w:rPr>
                <w:b/>
                <w:sz w:val="20"/>
                <w:szCs w:val="20"/>
              </w:rPr>
              <w:t>Relevant Standard(s)</w:t>
            </w:r>
          </w:p>
        </w:tc>
        <w:tc>
          <w:tcPr>
            <w:tcW w:w="3330" w:type="dxa"/>
            <w:vAlign w:val="center"/>
          </w:tcPr>
          <w:p w14:paraId="19A94490" w14:textId="77777777" w:rsidR="003C2C9F" w:rsidRPr="00BD0907" w:rsidRDefault="003C2C9F" w:rsidP="00A25631">
            <w:pPr>
              <w:jc w:val="center"/>
              <w:rPr>
                <w:b/>
                <w:sz w:val="20"/>
                <w:szCs w:val="20"/>
              </w:rPr>
            </w:pPr>
            <w:r w:rsidRPr="00BD0907">
              <w:rPr>
                <w:b/>
                <w:sz w:val="20"/>
                <w:szCs w:val="20"/>
              </w:rPr>
              <w:t>Outcome</w:t>
            </w:r>
          </w:p>
        </w:tc>
        <w:tc>
          <w:tcPr>
            <w:tcW w:w="2160" w:type="dxa"/>
            <w:vAlign w:val="center"/>
          </w:tcPr>
          <w:p w14:paraId="0DB81066" w14:textId="77777777" w:rsidR="003C2C9F" w:rsidRPr="00BD0907" w:rsidRDefault="003C2C9F" w:rsidP="00A25631">
            <w:pPr>
              <w:jc w:val="center"/>
              <w:rPr>
                <w:b/>
                <w:sz w:val="20"/>
                <w:szCs w:val="20"/>
              </w:rPr>
            </w:pPr>
            <w:r w:rsidRPr="00BD0907">
              <w:rPr>
                <w:b/>
                <w:sz w:val="20"/>
                <w:szCs w:val="20"/>
              </w:rPr>
              <w:t>Measures of Progress</w:t>
            </w:r>
          </w:p>
        </w:tc>
        <w:tc>
          <w:tcPr>
            <w:tcW w:w="1620" w:type="dxa"/>
            <w:vAlign w:val="center"/>
          </w:tcPr>
          <w:p w14:paraId="6959C27D" w14:textId="77777777" w:rsidR="003C2C9F" w:rsidRPr="00BD0907" w:rsidRDefault="003C2C9F" w:rsidP="00A25631">
            <w:pPr>
              <w:jc w:val="center"/>
              <w:rPr>
                <w:b/>
                <w:sz w:val="20"/>
                <w:szCs w:val="20"/>
              </w:rPr>
            </w:pPr>
            <w:r w:rsidRPr="00BD0907">
              <w:rPr>
                <w:b/>
                <w:sz w:val="20"/>
                <w:szCs w:val="20"/>
              </w:rPr>
              <w:t>Responsible Parties</w:t>
            </w:r>
          </w:p>
        </w:tc>
        <w:tc>
          <w:tcPr>
            <w:tcW w:w="1188" w:type="dxa"/>
            <w:vAlign w:val="center"/>
          </w:tcPr>
          <w:p w14:paraId="33872069" w14:textId="77777777" w:rsidR="003C2C9F" w:rsidRPr="00BD0907" w:rsidRDefault="003C2C9F" w:rsidP="00A25631">
            <w:pPr>
              <w:jc w:val="center"/>
              <w:rPr>
                <w:b/>
                <w:sz w:val="20"/>
                <w:szCs w:val="20"/>
              </w:rPr>
            </w:pPr>
            <w:r w:rsidRPr="00BD0907">
              <w:rPr>
                <w:b/>
                <w:sz w:val="20"/>
                <w:szCs w:val="20"/>
              </w:rPr>
              <w:t>Timeline</w:t>
            </w:r>
          </w:p>
        </w:tc>
      </w:tr>
      <w:tr w:rsidR="00731A8A" w14:paraId="46C1BCEB" w14:textId="62F6D18F" w:rsidTr="00731A8A">
        <w:tc>
          <w:tcPr>
            <w:tcW w:w="1278" w:type="dxa"/>
          </w:tcPr>
          <w:p w14:paraId="46DE7F16" w14:textId="0CDECE11" w:rsidR="00731A8A" w:rsidRPr="00731A8A" w:rsidRDefault="00731A8A" w:rsidP="00731A8A">
            <w:pPr>
              <w:jc w:val="center"/>
              <w:rPr>
                <w:b/>
              </w:rPr>
            </w:pPr>
            <w:r>
              <w:t xml:space="preserve">3.D </w:t>
            </w:r>
          </w:p>
        </w:tc>
        <w:tc>
          <w:tcPr>
            <w:tcW w:w="3330" w:type="dxa"/>
          </w:tcPr>
          <w:p w14:paraId="60BE4648" w14:textId="64F5BE72" w:rsidR="00731A8A" w:rsidRDefault="00731A8A" w:rsidP="00731A8A">
            <w:r>
              <w:t>Collaborate with programs on specific research needs</w:t>
            </w:r>
          </w:p>
        </w:tc>
        <w:tc>
          <w:tcPr>
            <w:tcW w:w="2160" w:type="dxa"/>
          </w:tcPr>
          <w:p w14:paraId="4298060A" w14:textId="77777777" w:rsidR="00731A8A" w:rsidRDefault="00731A8A" w:rsidP="00731A8A">
            <w:r>
              <w:t xml:space="preserve">Number of appointments </w:t>
            </w:r>
          </w:p>
          <w:p w14:paraId="28CE494D" w14:textId="77777777" w:rsidR="00731A8A" w:rsidRDefault="00731A8A" w:rsidP="00731A8A"/>
          <w:p w14:paraId="7E9B2972" w14:textId="5D2C7351" w:rsidR="00731A8A" w:rsidRDefault="00731A8A" w:rsidP="00731A8A">
            <w:r>
              <w:t>Number of data request</w:t>
            </w:r>
          </w:p>
        </w:tc>
        <w:tc>
          <w:tcPr>
            <w:tcW w:w="1620" w:type="dxa"/>
          </w:tcPr>
          <w:p w14:paraId="2191ECD5" w14:textId="0D50C16C" w:rsidR="00731A8A" w:rsidRDefault="00731A8A" w:rsidP="00731A8A">
            <w:r>
              <w:t>Office of Institutional Research</w:t>
            </w:r>
          </w:p>
        </w:tc>
        <w:tc>
          <w:tcPr>
            <w:tcW w:w="1188" w:type="dxa"/>
          </w:tcPr>
          <w:p w14:paraId="763768F0" w14:textId="6E18FB49" w:rsidR="00731A8A" w:rsidRDefault="00731A8A" w:rsidP="00731A8A">
            <w:r>
              <w:t>Spring 2017</w:t>
            </w:r>
          </w:p>
        </w:tc>
        <w:tc>
          <w:tcPr>
            <w:tcW w:w="1417" w:type="dxa"/>
          </w:tcPr>
          <w:p w14:paraId="31D25921" w14:textId="77777777" w:rsidR="00731A8A" w:rsidRDefault="00731A8A" w:rsidP="00731A8A"/>
        </w:tc>
      </w:tr>
    </w:tbl>
    <w:p w14:paraId="6FCBBA5A" w14:textId="77777777" w:rsidR="003C2C9F" w:rsidRDefault="003C2C9F"/>
    <w:p w14:paraId="376ADF33" w14:textId="71242569" w:rsidR="00376329" w:rsidRPr="0040310E" w:rsidRDefault="002A68D9" w:rsidP="00376329">
      <w:pPr>
        <w:rPr>
          <w:i/>
          <w:u w:val="single"/>
        </w:rPr>
      </w:pPr>
      <w:r>
        <w:rPr>
          <w:i/>
          <w:u w:val="single"/>
        </w:rPr>
        <w:br w:type="page"/>
      </w:r>
    </w:p>
    <w:p w14:paraId="336B4693" w14:textId="55250388" w:rsidR="002A68D9" w:rsidRDefault="002A68D9" w:rsidP="002A68D9">
      <w:r w:rsidRPr="00443D7C">
        <w:rPr>
          <w:i/>
          <w:u w:val="single"/>
        </w:rPr>
        <w:lastRenderedPageBreak/>
        <w:t xml:space="preserve">Step </w:t>
      </w:r>
      <w:r w:rsidR="0040310E">
        <w:rPr>
          <w:i/>
          <w:u w:val="single"/>
        </w:rPr>
        <w:t>6</w:t>
      </w:r>
      <w:r w:rsidRPr="00443D7C">
        <w:rPr>
          <w:i/>
          <w:u w:val="single"/>
        </w:rPr>
        <w:t xml:space="preserve">: </w:t>
      </w:r>
      <w:r>
        <w:rPr>
          <w:i/>
          <w:u w:val="single"/>
        </w:rPr>
        <w:t>Develop CTE Program Review Reports</w:t>
      </w:r>
    </w:p>
    <w:p w14:paraId="357F48A6" w14:textId="703A02FD" w:rsidR="002A68D9" w:rsidRPr="00443D7C" w:rsidRDefault="002A68D9" w:rsidP="002A68D9">
      <w:r>
        <w:t xml:space="preserve">In an effort to support CTE Program Review and to provide information to CTE program faculty, staff and administrators to facilitate conversation and planning, the office of institutional research will collaborate with the CTE/Perkins Workgroup to determine data elements and research components for effective program review and curriculum development. In addition, the office of institutional research will collaborate with individual CTE programs to develop benchmarks and data resources for measuring </w:t>
      </w:r>
      <w:r w:rsidR="00C42B76">
        <w:t xml:space="preserve">successful course completion, student equity, </w:t>
      </w:r>
      <w:r>
        <w:t xml:space="preserve">program </w:t>
      </w:r>
      <w:r w:rsidR="00C42B76">
        <w:t xml:space="preserve">persistence, program </w:t>
      </w:r>
      <w:r>
        <w:t>completion</w:t>
      </w:r>
      <w:r w:rsidR="00C42B76">
        <w:t>,</w:t>
      </w:r>
      <w:r>
        <w:t xml:space="preserve"> and job placement rates. Finally, the office of institutional research will collaborate with individual CTE programs to define program effectiveness standards and goals (similar to institutional effectiveness standards and goals that have been defined as part of the Institutional Effectiveness Planning Initiative).</w:t>
      </w:r>
    </w:p>
    <w:tbl>
      <w:tblPr>
        <w:tblStyle w:val="TableGrid"/>
        <w:tblW w:w="0" w:type="auto"/>
        <w:tblLook w:val="04A0" w:firstRow="1" w:lastRow="0" w:firstColumn="1" w:lastColumn="0" w:noHBand="0" w:noVBand="1"/>
      </w:tblPr>
      <w:tblGrid>
        <w:gridCol w:w="1278"/>
        <w:gridCol w:w="3330"/>
        <w:gridCol w:w="2160"/>
        <w:gridCol w:w="1620"/>
        <w:gridCol w:w="1188"/>
      </w:tblGrid>
      <w:tr w:rsidR="002A68D9" w14:paraId="1D0467EA" w14:textId="77777777" w:rsidTr="00A25631">
        <w:tc>
          <w:tcPr>
            <w:tcW w:w="1278" w:type="dxa"/>
            <w:vAlign w:val="center"/>
          </w:tcPr>
          <w:p w14:paraId="6F12DA93" w14:textId="77777777" w:rsidR="002A68D9" w:rsidRPr="00BD0907" w:rsidRDefault="002A68D9" w:rsidP="00A25631">
            <w:pPr>
              <w:jc w:val="center"/>
              <w:rPr>
                <w:b/>
                <w:sz w:val="20"/>
                <w:szCs w:val="20"/>
              </w:rPr>
            </w:pPr>
            <w:r w:rsidRPr="00BD0907">
              <w:rPr>
                <w:b/>
                <w:sz w:val="20"/>
                <w:szCs w:val="20"/>
              </w:rPr>
              <w:t>Relevant Standard(s)</w:t>
            </w:r>
          </w:p>
        </w:tc>
        <w:tc>
          <w:tcPr>
            <w:tcW w:w="3330" w:type="dxa"/>
            <w:vAlign w:val="center"/>
          </w:tcPr>
          <w:p w14:paraId="4158242D" w14:textId="77777777" w:rsidR="002A68D9" w:rsidRPr="00BD0907" w:rsidRDefault="002A68D9" w:rsidP="00A25631">
            <w:pPr>
              <w:jc w:val="center"/>
              <w:rPr>
                <w:b/>
                <w:sz w:val="20"/>
                <w:szCs w:val="20"/>
              </w:rPr>
            </w:pPr>
            <w:r w:rsidRPr="00BD0907">
              <w:rPr>
                <w:b/>
                <w:sz w:val="20"/>
                <w:szCs w:val="20"/>
              </w:rPr>
              <w:t>Outcome</w:t>
            </w:r>
          </w:p>
        </w:tc>
        <w:tc>
          <w:tcPr>
            <w:tcW w:w="2160" w:type="dxa"/>
            <w:vAlign w:val="center"/>
          </w:tcPr>
          <w:p w14:paraId="6D70A60A" w14:textId="77777777" w:rsidR="002A68D9" w:rsidRPr="00BD0907" w:rsidRDefault="002A68D9" w:rsidP="00A25631">
            <w:pPr>
              <w:jc w:val="center"/>
              <w:rPr>
                <w:b/>
                <w:sz w:val="20"/>
                <w:szCs w:val="20"/>
              </w:rPr>
            </w:pPr>
            <w:r w:rsidRPr="00BD0907">
              <w:rPr>
                <w:b/>
                <w:sz w:val="20"/>
                <w:szCs w:val="20"/>
              </w:rPr>
              <w:t>Measures of Progress</w:t>
            </w:r>
          </w:p>
        </w:tc>
        <w:tc>
          <w:tcPr>
            <w:tcW w:w="1620" w:type="dxa"/>
            <w:vAlign w:val="center"/>
          </w:tcPr>
          <w:p w14:paraId="159EC9B8" w14:textId="77777777" w:rsidR="002A68D9" w:rsidRPr="00BD0907" w:rsidRDefault="002A68D9" w:rsidP="00A25631">
            <w:pPr>
              <w:jc w:val="center"/>
              <w:rPr>
                <w:b/>
                <w:sz w:val="20"/>
                <w:szCs w:val="20"/>
              </w:rPr>
            </w:pPr>
            <w:r w:rsidRPr="00BD0907">
              <w:rPr>
                <w:b/>
                <w:sz w:val="20"/>
                <w:szCs w:val="20"/>
              </w:rPr>
              <w:t>Responsible Parties</w:t>
            </w:r>
          </w:p>
        </w:tc>
        <w:tc>
          <w:tcPr>
            <w:tcW w:w="1188" w:type="dxa"/>
            <w:vAlign w:val="center"/>
          </w:tcPr>
          <w:p w14:paraId="07AD4388" w14:textId="77777777" w:rsidR="002A68D9" w:rsidRPr="00BD0907" w:rsidRDefault="002A68D9" w:rsidP="00A25631">
            <w:pPr>
              <w:jc w:val="center"/>
              <w:rPr>
                <w:b/>
                <w:sz w:val="20"/>
                <w:szCs w:val="20"/>
              </w:rPr>
            </w:pPr>
            <w:r w:rsidRPr="00BD0907">
              <w:rPr>
                <w:b/>
                <w:sz w:val="20"/>
                <w:szCs w:val="20"/>
              </w:rPr>
              <w:t>Timeline</w:t>
            </w:r>
          </w:p>
        </w:tc>
      </w:tr>
      <w:tr w:rsidR="002A68D9" w14:paraId="304DD306" w14:textId="77777777" w:rsidTr="00A25631">
        <w:tc>
          <w:tcPr>
            <w:tcW w:w="1278" w:type="dxa"/>
            <w:vAlign w:val="center"/>
          </w:tcPr>
          <w:p w14:paraId="4D1335A1" w14:textId="77777777" w:rsidR="002A68D9" w:rsidRDefault="002A68D9" w:rsidP="00A25631">
            <w:pPr>
              <w:jc w:val="center"/>
            </w:pPr>
          </w:p>
        </w:tc>
        <w:tc>
          <w:tcPr>
            <w:tcW w:w="3330" w:type="dxa"/>
          </w:tcPr>
          <w:p w14:paraId="74FD2F1C" w14:textId="77777777" w:rsidR="002A68D9" w:rsidRDefault="002A68D9" w:rsidP="00A25631"/>
        </w:tc>
        <w:tc>
          <w:tcPr>
            <w:tcW w:w="2160" w:type="dxa"/>
          </w:tcPr>
          <w:p w14:paraId="30054C45" w14:textId="77777777" w:rsidR="002A68D9" w:rsidRDefault="002A68D9" w:rsidP="00A25631"/>
        </w:tc>
        <w:tc>
          <w:tcPr>
            <w:tcW w:w="1620" w:type="dxa"/>
          </w:tcPr>
          <w:p w14:paraId="564BB9B9" w14:textId="77777777" w:rsidR="002A68D9" w:rsidRDefault="002A68D9" w:rsidP="00A25631"/>
        </w:tc>
        <w:tc>
          <w:tcPr>
            <w:tcW w:w="1188" w:type="dxa"/>
          </w:tcPr>
          <w:p w14:paraId="3220D310" w14:textId="77777777" w:rsidR="002A68D9" w:rsidRDefault="002A68D9" w:rsidP="00A25631"/>
        </w:tc>
      </w:tr>
      <w:tr w:rsidR="002A68D9" w14:paraId="205C9617" w14:textId="77777777" w:rsidTr="00A25631">
        <w:tc>
          <w:tcPr>
            <w:tcW w:w="1278" w:type="dxa"/>
            <w:vAlign w:val="center"/>
          </w:tcPr>
          <w:p w14:paraId="34A54839" w14:textId="77777777" w:rsidR="002A68D9" w:rsidRDefault="002A68D9" w:rsidP="00A25631">
            <w:pPr>
              <w:jc w:val="center"/>
            </w:pPr>
          </w:p>
        </w:tc>
        <w:tc>
          <w:tcPr>
            <w:tcW w:w="3330" w:type="dxa"/>
          </w:tcPr>
          <w:p w14:paraId="43D091A4" w14:textId="77777777" w:rsidR="002A68D9" w:rsidRDefault="002A68D9" w:rsidP="00A25631"/>
        </w:tc>
        <w:tc>
          <w:tcPr>
            <w:tcW w:w="2160" w:type="dxa"/>
          </w:tcPr>
          <w:p w14:paraId="33701FBD" w14:textId="77777777" w:rsidR="002A68D9" w:rsidRDefault="002A68D9" w:rsidP="00A25631"/>
        </w:tc>
        <w:tc>
          <w:tcPr>
            <w:tcW w:w="1620" w:type="dxa"/>
          </w:tcPr>
          <w:p w14:paraId="6F7E635C" w14:textId="77777777" w:rsidR="002A68D9" w:rsidRDefault="002A68D9" w:rsidP="00A25631"/>
        </w:tc>
        <w:tc>
          <w:tcPr>
            <w:tcW w:w="1188" w:type="dxa"/>
          </w:tcPr>
          <w:p w14:paraId="5EB6A81F" w14:textId="77777777" w:rsidR="002A68D9" w:rsidRDefault="002A68D9" w:rsidP="00A25631"/>
        </w:tc>
      </w:tr>
    </w:tbl>
    <w:p w14:paraId="1AF6A841" w14:textId="77777777" w:rsidR="002A68D9" w:rsidRDefault="002A68D9" w:rsidP="002A68D9"/>
    <w:p w14:paraId="751B9BB9" w14:textId="77777777" w:rsidR="002A68D9" w:rsidRDefault="002A68D9">
      <w:pPr>
        <w:rPr>
          <w:i/>
          <w:u w:val="single"/>
        </w:rPr>
      </w:pPr>
      <w:r>
        <w:rPr>
          <w:i/>
          <w:u w:val="single"/>
        </w:rPr>
        <w:br w:type="page"/>
      </w:r>
    </w:p>
    <w:p w14:paraId="24589092" w14:textId="530B0033" w:rsidR="002A68D9" w:rsidRDefault="002A68D9" w:rsidP="002A68D9">
      <w:r w:rsidRPr="00443D7C">
        <w:rPr>
          <w:i/>
          <w:u w:val="single"/>
        </w:rPr>
        <w:lastRenderedPageBreak/>
        <w:t xml:space="preserve">Step </w:t>
      </w:r>
      <w:r w:rsidR="0040310E">
        <w:rPr>
          <w:i/>
          <w:u w:val="single"/>
        </w:rPr>
        <w:t>7</w:t>
      </w:r>
      <w:r w:rsidRPr="00443D7C">
        <w:rPr>
          <w:i/>
          <w:u w:val="single"/>
        </w:rPr>
        <w:t xml:space="preserve">: </w:t>
      </w:r>
      <w:r>
        <w:rPr>
          <w:i/>
          <w:u w:val="single"/>
        </w:rPr>
        <w:t>Develop Transfer Program Review Reports</w:t>
      </w:r>
    </w:p>
    <w:p w14:paraId="74AEF9F1" w14:textId="5AE1C66D" w:rsidR="002A68D9" w:rsidRPr="00443D7C" w:rsidRDefault="002A68D9" w:rsidP="002A68D9">
      <w:r>
        <w:t xml:space="preserve">In an effort to support Program Review for Transfer Programs, the office of institutional research will collaborate with the Academic Senate to determine data elements and research components (including the tracking of students who transfer to four-year institutions) for effective program review and curriculum development. In addition, the office of institutional research will collaborate with program faculty, staff and administrators to develop benchmarks and data resources for measuring </w:t>
      </w:r>
      <w:r w:rsidR="00C42B76">
        <w:t>successful course completion, student equity, program persistence, program completion, and</w:t>
      </w:r>
      <w:r>
        <w:t xml:space="preserve"> transfer success rates. Finally, the office of institutional research will collaborate with individual programs to define program effectiveness standards and goals (similar to institutional effectiveness standards and goals that have been defined as part of the Institutional Effectiveness Planning Initiative).</w:t>
      </w:r>
    </w:p>
    <w:tbl>
      <w:tblPr>
        <w:tblStyle w:val="TableGrid"/>
        <w:tblW w:w="0" w:type="auto"/>
        <w:tblLook w:val="04A0" w:firstRow="1" w:lastRow="0" w:firstColumn="1" w:lastColumn="0" w:noHBand="0" w:noVBand="1"/>
      </w:tblPr>
      <w:tblGrid>
        <w:gridCol w:w="1278"/>
        <w:gridCol w:w="3330"/>
        <w:gridCol w:w="2160"/>
        <w:gridCol w:w="1620"/>
        <w:gridCol w:w="1188"/>
      </w:tblGrid>
      <w:tr w:rsidR="002A68D9" w14:paraId="17A19584" w14:textId="77777777" w:rsidTr="00A25631">
        <w:tc>
          <w:tcPr>
            <w:tcW w:w="1278" w:type="dxa"/>
            <w:vAlign w:val="center"/>
          </w:tcPr>
          <w:p w14:paraId="77B788A2" w14:textId="77777777" w:rsidR="002A68D9" w:rsidRPr="00BD0907" w:rsidRDefault="002A68D9" w:rsidP="00A25631">
            <w:pPr>
              <w:jc w:val="center"/>
              <w:rPr>
                <w:b/>
                <w:sz w:val="20"/>
                <w:szCs w:val="20"/>
              </w:rPr>
            </w:pPr>
            <w:r w:rsidRPr="00BD0907">
              <w:rPr>
                <w:b/>
                <w:sz w:val="20"/>
                <w:szCs w:val="20"/>
              </w:rPr>
              <w:t>Relevant Standard(s)</w:t>
            </w:r>
          </w:p>
        </w:tc>
        <w:tc>
          <w:tcPr>
            <w:tcW w:w="3330" w:type="dxa"/>
            <w:vAlign w:val="center"/>
          </w:tcPr>
          <w:p w14:paraId="5701B93E" w14:textId="77777777" w:rsidR="002A68D9" w:rsidRPr="00BD0907" w:rsidRDefault="002A68D9" w:rsidP="00A25631">
            <w:pPr>
              <w:jc w:val="center"/>
              <w:rPr>
                <w:b/>
                <w:sz w:val="20"/>
                <w:szCs w:val="20"/>
              </w:rPr>
            </w:pPr>
            <w:r w:rsidRPr="00BD0907">
              <w:rPr>
                <w:b/>
                <w:sz w:val="20"/>
                <w:szCs w:val="20"/>
              </w:rPr>
              <w:t>Outcome</w:t>
            </w:r>
          </w:p>
        </w:tc>
        <w:tc>
          <w:tcPr>
            <w:tcW w:w="2160" w:type="dxa"/>
            <w:vAlign w:val="center"/>
          </w:tcPr>
          <w:p w14:paraId="782C6C3E" w14:textId="77777777" w:rsidR="002A68D9" w:rsidRPr="00BD0907" w:rsidRDefault="002A68D9" w:rsidP="00A25631">
            <w:pPr>
              <w:jc w:val="center"/>
              <w:rPr>
                <w:b/>
                <w:sz w:val="20"/>
                <w:szCs w:val="20"/>
              </w:rPr>
            </w:pPr>
            <w:r w:rsidRPr="00BD0907">
              <w:rPr>
                <w:b/>
                <w:sz w:val="20"/>
                <w:szCs w:val="20"/>
              </w:rPr>
              <w:t>Measures of Progress</w:t>
            </w:r>
          </w:p>
        </w:tc>
        <w:tc>
          <w:tcPr>
            <w:tcW w:w="1620" w:type="dxa"/>
            <w:vAlign w:val="center"/>
          </w:tcPr>
          <w:p w14:paraId="5B4175DE" w14:textId="77777777" w:rsidR="002A68D9" w:rsidRPr="00BD0907" w:rsidRDefault="002A68D9" w:rsidP="00A25631">
            <w:pPr>
              <w:jc w:val="center"/>
              <w:rPr>
                <w:b/>
                <w:sz w:val="20"/>
                <w:szCs w:val="20"/>
              </w:rPr>
            </w:pPr>
            <w:r w:rsidRPr="00BD0907">
              <w:rPr>
                <w:b/>
                <w:sz w:val="20"/>
                <w:szCs w:val="20"/>
              </w:rPr>
              <w:t>Responsible Parties</w:t>
            </w:r>
          </w:p>
        </w:tc>
        <w:tc>
          <w:tcPr>
            <w:tcW w:w="1188" w:type="dxa"/>
            <w:vAlign w:val="center"/>
          </w:tcPr>
          <w:p w14:paraId="79539C56" w14:textId="77777777" w:rsidR="002A68D9" w:rsidRPr="00BD0907" w:rsidRDefault="002A68D9" w:rsidP="00A25631">
            <w:pPr>
              <w:jc w:val="center"/>
              <w:rPr>
                <w:b/>
                <w:sz w:val="20"/>
                <w:szCs w:val="20"/>
              </w:rPr>
            </w:pPr>
            <w:r w:rsidRPr="00BD0907">
              <w:rPr>
                <w:b/>
                <w:sz w:val="20"/>
                <w:szCs w:val="20"/>
              </w:rPr>
              <w:t>Timeline</w:t>
            </w:r>
          </w:p>
        </w:tc>
      </w:tr>
      <w:tr w:rsidR="002A68D9" w14:paraId="0EF176E5" w14:textId="77777777" w:rsidTr="00A25631">
        <w:tc>
          <w:tcPr>
            <w:tcW w:w="1278" w:type="dxa"/>
            <w:vAlign w:val="center"/>
          </w:tcPr>
          <w:p w14:paraId="2CF1AF9D" w14:textId="77777777" w:rsidR="002A68D9" w:rsidRDefault="002A68D9" w:rsidP="00A25631">
            <w:pPr>
              <w:jc w:val="center"/>
            </w:pPr>
          </w:p>
        </w:tc>
        <w:tc>
          <w:tcPr>
            <w:tcW w:w="3330" w:type="dxa"/>
          </w:tcPr>
          <w:p w14:paraId="4EEAD886" w14:textId="0DF99EF0" w:rsidR="003F2032" w:rsidRDefault="003F2032" w:rsidP="003F2032">
            <w:r>
              <w:t>Collaberate with the various groups in order develop useful data for program review</w:t>
            </w:r>
          </w:p>
        </w:tc>
        <w:tc>
          <w:tcPr>
            <w:tcW w:w="2160" w:type="dxa"/>
          </w:tcPr>
          <w:p w14:paraId="3C531B27" w14:textId="77777777" w:rsidR="002A68D9" w:rsidRDefault="003F2032" w:rsidP="00A25631">
            <w:r>
              <w:t>Data Request</w:t>
            </w:r>
          </w:p>
          <w:p w14:paraId="15B20D0C" w14:textId="77777777" w:rsidR="003F2032" w:rsidRDefault="003F2032" w:rsidP="00A25631">
            <w:r>
              <w:t>Focus Groups</w:t>
            </w:r>
          </w:p>
          <w:p w14:paraId="22817941" w14:textId="460F1725" w:rsidR="003F2032" w:rsidRDefault="003F2032" w:rsidP="00A25631">
            <w:r>
              <w:t>Usage Reports</w:t>
            </w:r>
          </w:p>
        </w:tc>
        <w:tc>
          <w:tcPr>
            <w:tcW w:w="1620" w:type="dxa"/>
          </w:tcPr>
          <w:p w14:paraId="5C156DA8" w14:textId="4BF7D14A" w:rsidR="002A68D9" w:rsidRDefault="003F2032" w:rsidP="00A25631">
            <w:r>
              <w:t>Office of Institutional Research</w:t>
            </w:r>
          </w:p>
        </w:tc>
        <w:tc>
          <w:tcPr>
            <w:tcW w:w="1188" w:type="dxa"/>
          </w:tcPr>
          <w:p w14:paraId="3D1CA4F7" w14:textId="7D24DE78" w:rsidR="002A68D9" w:rsidRDefault="003F2032" w:rsidP="00A25631">
            <w:r>
              <w:t>Ongoing-Spring 2017</w:t>
            </w:r>
          </w:p>
        </w:tc>
      </w:tr>
    </w:tbl>
    <w:p w14:paraId="09935D80" w14:textId="01A6A1FD" w:rsidR="00C42B76" w:rsidRDefault="00C42B76" w:rsidP="00C42B76"/>
    <w:p w14:paraId="0C38FEBF" w14:textId="681383D6" w:rsidR="0040310E" w:rsidRDefault="0040310E">
      <w:r>
        <w:br w:type="page"/>
      </w:r>
    </w:p>
    <w:p w14:paraId="4FB58461" w14:textId="77777777" w:rsidR="003C2C9F" w:rsidRDefault="003C2C9F" w:rsidP="00376329"/>
    <w:p w14:paraId="1E13B39A" w14:textId="419CC729" w:rsidR="00C120CF" w:rsidRDefault="00C120CF" w:rsidP="00C120CF">
      <w:pPr>
        <w:rPr>
          <w:i/>
          <w:sz w:val="24"/>
        </w:rPr>
      </w:pPr>
      <w:r w:rsidRPr="002B63B0">
        <w:rPr>
          <w:b/>
          <w:sz w:val="24"/>
        </w:rPr>
        <w:t>Action Project#</w:t>
      </w:r>
      <w:r>
        <w:rPr>
          <w:b/>
          <w:sz w:val="24"/>
        </w:rPr>
        <w:t>2</w:t>
      </w:r>
      <w:r w:rsidRPr="002B63B0">
        <w:rPr>
          <w:b/>
          <w:sz w:val="24"/>
        </w:rPr>
        <w:t>:</w:t>
      </w:r>
      <w:r>
        <w:rPr>
          <w:i/>
          <w:sz w:val="24"/>
        </w:rPr>
        <w:t xml:space="preserve"> </w:t>
      </w:r>
      <w:r w:rsidR="0040310E">
        <w:rPr>
          <w:i/>
          <w:sz w:val="24"/>
        </w:rPr>
        <w:t>Improve the use of data as a communication tool</w:t>
      </w:r>
    </w:p>
    <w:p w14:paraId="21CBADC3" w14:textId="7D8FBC66" w:rsidR="006642D8" w:rsidRPr="006642D8" w:rsidRDefault="006642D8" w:rsidP="00C120CF">
      <w:pPr>
        <w:rPr>
          <w:sz w:val="24"/>
        </w:rPr>
      </w:pPr>
      <w:r>
        <w:rPr>
          <w:sz w:val="24"/>
        </w:rPr>
        <w:t xml:space="preserve">Several of the standards emphasize the importance of </w:t>
      </w:r>
      <w:r w:rsidR="00055DAD">
        <w:rPr>
          <w:sz w:val="24"/>
        </w:rPr>
        <w:t>communication</w:t>
      </w:r>
      <w:r>
        <w:rPr>
          <w:sz w:val="24"/>
        </w:rPr>
        <w:t xml:space="preserve"> within the campus community.  While the College has a variety of forums to discuss campus-wide events and issues (i.e. Y’all Comes, Strategic Planning Retreat, etc.), we would like to expand the concept of communication to embrace the use of data as yet another way that the campus </w:t>
      </w:r>
      <w:r w:rsidR="009939FE">
        <w:rPr>
          <w:sz w:val="24"/>
        </w:rPr>
        <w:t>connects</w:t>
      </w:r>
      <w:r>
        <w:rPr>
          <w:sz w:val="24"/>
        </w:rPr>
        <w:t xml:space="preserve"> with internal and external groups.  While the first Action Project focuses on</w:t>
      </w:r>
      <w:r w:rsidR="00823523">
        <w:rPr>
          <w:sz w:val="24"/>
        </w:rPr>
        <w:t xml:space="preserve"> developing a better understanding the College’s data needs, this Action Project</w:t>
      </w:r>
      <w:r w:rsidR="00EE6402">
        <w:rPr>
          <w:sz w:val="24"/>
        </w:rPr>
        <w:t>’s</w:t>
      </w:r>
      <w:r w:rsidR="008A0BE0">
        <w:rPr>
          <w:sz w:val="24"/>
        </w:rPr>
        <w:t xml:space="preserve"> goal is to ensure that data is not just gathered by used effectively</w:t>
      </w:r>
      <w:r w:rsidR="00EE6402">
        <w:rPr>
          <w:sz w:val="24"/>
        </w:rPr>
        <w:t xml:space="preserve"> to communicate the needs of programs</w:t>
      </w:r>
      <w:r w:rsidR="008A0BE0">
        <w:rPr>
          <w:sz w:val="24"/>
        </w:rPr>
        <w:t>.  In order to achieve this goal, the project focuses on a variety of steps to promote a user-friendly environment in which people can access data.</w:t>
      </w:r>
      <w:r w:rsidR="00F92CBD">
        <w:rPr>
          <w:sz w:val="24"/>
        </w:rPr>
        <w:t xml:space="preserve"> The overall purpose of this Action Project is to ensure that all campus groups have easy access to the information they need in order to promote student success. Further, when programs make changes in hopes of increasing student achievement the programs will be able to assess the effectiveness of their changes in order to understand if the changes are valuable. </w:t>
      </w:r>
    </w:p>
    <w:p w14:paraId="1ABB6DEA" w14:textId="6CBA2ED0" w:rsidR="00197AF8" w:rsidRDefault="00C120CF" w:rsidP="00C120CF">
      <w:pPr>
        <w:rPr>
          <w:i/>
          <w:u w:val="single"/>
        </w:rPr>
      </w:pPr>
      <w:r w:rsidRPr="00443D7C">
        <w:rPr>
          <w:i/>
          <w:u w:val="single"/>
        </w:rPr>
        <w:t xml:space="preserve">Step 1: </w:t>
      </w:r>
      <w:r>
        <w:rPr>
          <w:i/>
          <w:u w:val="single"/>
        </w:rPr>
        <w:t>Revitalize Institutional Research Website and SharePoint Site</w:t>
      </w:r>
    </w:p>
    <w:p w14:paraId="37A00B68" w14:textId="74BA18DF" w:rsidR="00F6638B" w:rsidRPr="00F6638B" w:rsidRDefault="00F6638B" w:rsidP="00C120CF">
      <w:r>
        <w:t xml:space="preserve">To facilitate communication, the Office of Institutional Research will improve the research website so that the availability of data is better communicated throughout the College. </w:t>
      </w:r>
    </w:p>
    <w:tbl>
      <w:tblPr>
        <w:tblStyle w:val="TableGrid"/>
        <w:tblW w:w="0" w:type="auto"/>
        <w:tblLook w:val="04A0" w:firstRow="1" w:lastRow="0" w:firstColumn="1" w:lastColumn="0" w:noHBand="0" w:noVBand="1"/>
      </w:tblPr>
      <w:tblGrid>
        <w:gridCol w:w="1278"/>
        <w:gridCol w:w="3330"/>
        <w:gridCol w:w="2160"/>
        <w:gridCol w:w="1620"/>
        <w:gridCol w:w="1188"/>
      </w:tblGrid>
      <w:tr w:rsidR="00C120CF" w14:paraId="1E1F5B83" w14:textId="77777777" w:rsidTr="00A25631">
        <w:tc>
          <w:tcPr>
            <w:tcW w:w="1278" w:type="dxa"/>
            <w:vAlign w:val="center"/>
          </w:tcPr>
          <w:p w14:paraId="1C21153E" w14:textId="77777777" w:rsidR="00C120CF" w:rsidRPr="00BD0907" w:rsidRDefault="00C120CF" w:rsidP="00A25631">
            <w:pPr>
              <w:jc w:val="center"/>
              <w:rPr>
                <w:b/>
                <w:sz w:val="20"/>
                <w:szCs w:val="20"/>
              </w:rPr>
            </w:pPr>
            <w:r w:rsidRPr="00BD0907">
              <w:rPr>
                <w:b/>
                <w:sz w:val="20"/>
                <w:szCs w:val="20"/>
              </w:rPr>
              <w:t>Relevant Standard(s)</w:t>
            </w:r>
          </w:p>
        </w:tc>
        <w:tc>
          <w:tcPr>
            <w:tcW w:w="3330" w:type="dxa"/>
            <w:vAlign w:val="center"/>
          </w:tcPr>
          <w:p w14:paraId="3C38AF69" w14:textId="77777777" w:rsidR="00C120CF" w:rsidRPr="00BD0907" w:rsidRDefault="00C120CF" w:rsidP="00A25631">
            <w:pPr>
              <w:jc w:val="center"/>
              <w:rPr>
                <w:b/>
                <w:sz w:val="20"/>
                <w:szCs w:val="20"/>
              </w:rPr>
            </w:pPr>
            <w:r w:rsidRPr="00BD0907">
              <w:rPr>
                <w:b/>
                <w:sz w:val="20"/>
                <w:szCs w:val="20"/>
              </w:rPr>
              <w:t>Outcome</w:t>
            </w:r>
          </w:p>
        </w:tc>
        <w:tc>
          <w:tcPr>
            <w:tcW w:w="2160" w:type="dxa"/>
            <w:vAlign w:val="center"/>
          </w:tcPr>
          <w:p w14:paraId="65AE1859" w14:textId="77777777" w:rsidR="00C120CF" w:rsidRPr="00BD0907" w:rsidRDefault="00C120CF" w:rsidP="00A25631">
            <w:pPr>
              <w:jc w:val="center"/>
              <w:rPr>
                <w:b/>
                <w:sz w:val="20"/>
                <w:szCs w:val="20"/>
              </w:rPr>
            </w:pPr>
            <w:r w:rsidRPr="00BD0907">
              <w:rPr>
                <w:b/>
                <w:sz w:val="20"/>
                <w:szCs w:val="20"/>
              </w:rPr>
              <w:t>Measures of Progress</w:t>
            </w:r>
          </w:p>
        </w:tc>
        <w:tc>
          <w:tcPr>
            <w:tcW w:w="1620" w:type="dxa"/>
            <w:vAlign w:val="center"/>
          </w:tcPr>
          <w:p w14:paraId="62E8F9ED" w14:textId="77777777" w:rsidR="00C120CF" w:rsidRPr="00BD0907" w:rsidRDefault="00C120CF" w:rsidP="00A25631">
            <w:pPr>
              <w:jc w:val="center"/>
              <w:rPr>
                <w:b/>
                <w:sz w:val="20"/>
                <w:szCs w:val="20"/>
              </w:rPr>
            </w:pPr>
            <w:r w:rsidRPr="00BD0907">
              <w:rPr>
                <w:b/>
                <w:sz w:val="20"/>
                <w:szCs w:val="20"/>
              </w:rPr>
              <w:t>Responsible Parties</w:t>
            </w:r>
          </w:p>
        </w:tc>
        <w:tc>
          <w:tcPr>
            <w:tcW w:w="1188" w:type="dxa"/>
            <w:vAlign w:val="center"/>
          </w:tcPr>
          <w:p w14:paraId="1EC8F302" w14:textId="77777777" w:rsidR="00C120CF" w:rsidRPr="00BD0907" w:rsidRDefault="00C120CF" w:rsidP="00A25631">
            <w:pPr>
              <w:jc w:val="center"/>
              <w:rPr>
                <w:b/>
                <w:sz w:val="20"/>
                <w:szCs w:val="20"/>
              </w:rPr>
            </w:pPr>
            <w:r w:rsidRPr="00BD0907">
              <w:rPr>
                <w:b/>
                <w:sz w:val="20"/>
                <w:szCs w:val="20"/>
              </w:rPr>
              <w:t>Timeline</w:t>
            </w:r>
          </w:p>
        </w:tc>
      </w:tr>
      <w:tr w:rsidR="00C120CF" w14:paraId="2DFFEFF2" w14:textId="77777777" w:rsidTr="00A25631">
        <w:tc>
          <w:tcPr>
            <w:tcW w:w="1278" w:type="dxa"/>
            <w:vAlign w:val="center"/>
          </w:tcPr>
          <w:p w14:paraId="34066484" w14:textId="77777777" w:rsidR="00C120CF" w:rsidRDefault="00C120CF" w:rsidP="00A25631">
            <w:pPr>
              <w:jc w:val="center"/>
            </w:pPr>
          </w:p>
        </w:tc>
        <w:tc>
          <w:tcPr>
            <w:tcW w:w="3330" w:type="dxa"/>
          </w:tcPr>
          <w:p w14:paraId="744AF112" w14:textId="04E26499" w:rsidR="00C120CF" w:rsidRDefault="00C120CF" w:rsidP="00A25631">
            <w:r>
              <w:t>Centrally Located, Easy-To-Find Program Planning Resources</w:t>
            </w:r>
          </w:p>
        </w:tc>
        <w:tc>
          <w:tcPr>
            <w:tcW w:w="2160" w:type="dxa"/>
          </w:tcPr>
          <w:p w14:paraId="7C39E459" w14:textId="77777777" w:rsidR="00C120CF" w:rsidRDefault="00C120CF" w:rsidP="009F13C7">
            <w:r>
              <w:t>Development of Website</w:t>
            </w:r>
          </w:p>
          <w:p w14:paraId="53FA1D55" w14:textId="77777777" w:rsidR="00C120CF" w:rsidRDefault="00C120CF" w:rsidP="009F13C7">
            <w:r>
              <w:t>Usage Reports</w:t>
            </w:r>
          </w:p>
          <w:p w14:paraId="7A0F2690" w14:textId="3D442843" w:rsidR="00C120CF" w:rsidRDefault="00C120CF" w:rsidP="00A25631">
            <w:r>
              <w:t>Satisfaction Surveys</w:t>
            </w:r>
          </w:p>
        </w:tc>
        <w:tc>
          <w:tcPr>
            <w:tcW w:w="1620" w:type="dxa"/>
          </w:tcPr>
          <w:p w14:paraId="3247593A" w14:textId="25E1BFC0" w:rsidR="00C120CF" w:rsidRDefault="009939FE" w:rsidP="00A25631">
            <w:r>
              <w:t>Office of Instituional Research</w:t>
            </w:r>
          </w:p>
        </w:tc>
        <w:tc>
          <w:tcPr>
            <w:tcW w:w="1188" w:type="dxa"/>
          </w:tcPr>
          <w:p w14:paraId="7636C3BC" w14:textId="53A5C032" w:rsidR="00C120CF" w:rsidRDefault="009939FE" w:rsidP="00A25631">
            <w:r>
              <w:t>Fall 2016 through Spring 2017</w:t>
            </w:r>
          </w:p>
        </w:tc>
      </w:tr>
      <w:tr w:rsidR="00C120CF" w14:paraId="02037770" w14:textId="77777777" w:rsidTr="00A25631">
        <w:tc>
          <w:tcPr>
            <w:tcW w:w="1278" w:type="dxa"/>
            <w:vAlign w:val="center"/>
          </w:tcPr>
          <w:p w14:paraId="4EA4D8ED" w14:textId="77777777" w:rsidR="00C120CF" w:rsidRDefault="00C120CF" w:rsidP="00A25631">
            <w:pPr>
              <w:jc w:val="center"/>
            </w:pPr>
          </w:p>
        </w:tc>
        <w:tc>
          <w:tcPr>
            <w:tcW w:w="3330" w:type="dxa"/>
          </w:tcPr>
          <w:p w14:paraId="2522D6EA" w14:textId="0F98A794" w:rsidR="00C120CF" w:rsidRDefault="00C120CF" w:rsidP="00C120CF">
            <w:r>
              <w:t>Centrally Located, Easy-To-Find Progress Reports on Annual Resource Requests</w:t>
            </w:r>
          </w:p>
        </w:tc>
        <w:tc>
          <w:tcPr>
            <w:tcW w:w="2160" w:type="dxa"/>
          </w:tcPr>
          <w:p w14:paraId="6E618306" w14:textId="77777777" w:rsidR="00C120CF" w:rsidRDefault="00C120CF" w:rsidP="00A25631">
            <w:r>
              <w:t>Usage Reports</w:t>
            </w:r>
          </w:p>
          <w:p w14:paraId="449B882E" w14:textId="4715FDEE" w:rsidR="00C120CF" w:rsidRDefault="00C120CF" w:rsidP="00C120CF">
            <w:r>
              <w:t>Satisfaction Surveys</w:t>
            </w:r>
          </w:p>
        </w:tc>
        <w:tc>
          <w:tcPr>
            <w:tcW w:w="1620" w:type="dxa"/>
          </w:tcPr>
          <w:p w14:paraId="1DC416E4" w14:textId="6AEA643D" w:rsidR="00C120CF" w:rsidRDefault="009939FE" w:rsidP="00A25631">
            <w:r>
              <w:t>Office of Instituional Research</w:t>
            </w:r>
          </w:p>
        </w:tc>
        <w:tc>
          <w:tcPr>
            <w:tcW w:w="1188" w:type="dxa"/>
          </w:tcPr>
          <w:p w14:paraId="06AEFBED" w14:textId="682D1DEB" w:rsidR="00C120CF" w:rsidRDefault="009939FE" w:rsidP="00A25631">
            <w:r>
              <w:t>Fall 2016 through Spring 2017</w:t>
            </w:r>
          </w:p>
        </w:tc>
      </w:tr>
    </w:tbl>
    <w:p w14:paraId="5A09A9F9" w14:textId="160D6CC4" w:rsidR="000D447E" w:rsidRDefault="000D447E" w:rsidP="00150DFA"/>
    <w:p w14:paraId="2D4047C0" w14:textId="7F73EDE8" w:rsidR="00C120CF" w:rsidRDefault="000D447E" w:rsidP="00150DFA">
      <w:r>
        <w:br w:type="page"/>
      </w:r>
    </w:p>
    <w:p w14:paraId="018290F7" w14:textId="6658475A" w:rsidR="00C120CF" w:rsidRDefault="00C120CF" w:rsidP="00C120CF">
      <w:pPr>
        <w:rPr>
          <w:i/>
          <w:u w:val="single"/>
        </w:rPr>
      </w:pPr>
      <w:r w:rsidRPr="00443D7C">
        <w:rPr>
          <w:i/>
          <w:u w:val="single"/>
        </w:rPr>
        <w:lastRenderedPageBreak/>
        <w:t xml:space="preserve">Step </w:t>
      </w:r>
      <w:r>
        <w:rPr>
          <w:i/>
          <w:u w:val="single"/>
        </w:rPr>
        <w:t>2</w:t>
      </w:r>
      <w:r w:rsidRPr="00443D7C">
        <w:rPr>
          <w:i/>
          <w:u w:val="single"/>
        </w:rPr>
        <w:t xml:space="preserve">: </w:t>
      </w:r>
      <w:r w:rsidR="00ED2D88">
        <w:rPr>
          <w:i/>
          <w:u w:val="single"/>
        </w:rPr>
        <w:t xml:space="preserve">Use New Software to Develop Dashboards </w:t>
      </w:r>
    </w:p>
    <w:p w14:paraId="1EB3B561" w14:textId="2D1237A3" w:rsidR="0040310E" w:rsidRDefault="00ED2D88" w:rsidP="0040310E">
      <w:r>
        <w:t>There are several programs in which the College has invested that provide a user-friendly interface but still will meet the robust data demands of the institution</w:t>
      </w:r>
      <w:r w:rsidR="0040310E">
        <w:t>.</w:t>
      </w:r>
      <w:r>
        <w:t xml:space="preserve"> The Office of Instituional Research will take the lead on the use of these programs</w:t>
      </w:r>
      <w:r w:rsidR="002523AF">
        <w:t xml:space="preserve"> by training its staff and then developing user-friendly dashboards</w:t>
      </w:r>
      <w:r>
        <w:t xml:space="preserve">. </w:t>
      </w:r>
    </w:p>
    <w:tbl>
      <w:tblPr>
        <w:tblStyle w:val="TableGrid"/>
        <w:tblW w:w="0" w:type="auto"/>
        <w:tblLook w:val="04A0" w:firstRow="1" w:lastRow="0" w:firstColumn="1" w:lastColumn="0" w:noHBand="0" w:noVBand="1"/>
      </w:tblPr>
      <w:tblGrid>
        <w:gridCol w:w="1278"/>
        <w:gridCol w:w="3330"/>
        <w:gridCol w:w="2160"/>
        <w:gridCol w:w="1620"/>
        <w:gridCol w:w="1188"/>
      </w:tblGrid>
      <w:tr w:rsidR="0040310E" w14:paraId="20010115" w14:textId="77777777" w:rsidTr="00980799">
        <w:tc>
          <w:tcPr>
            <w:tcW w:w="1278" w:type="dxa"/>
            <w:vAlign w:val="center"/>
          </w:tcPr>
          <w:p w14:paraId="6F4219B2" w14:textId="77777777" w:rsidR="0040310E" w:rsidRPr="00BD0907" w:rsidRDefault="0040310E" w:rsidP="00980799">
            <w:pPr>
              <w:jc w:val="center"/>
              <w:rPr>
                <w:b/>
                <w:sz w:val="20"/>
                <w:szCs w:val="20"/>
              </w:rPr>
            </w:pPr>
            <w:r w:rsidRPr="00BD0907">
              <w:rPr>
                <w:b/>
                <w:sz w:val="20"/>
                <w:szCs w:val="20"/>
              </w:rPr>
              <w:t>Relevant Standard(s)</w:t>
            </w:r>
          </w:p>
        </w:tc>
        <w:tc>
          <w:tcPr>
            <w:tcW w:w="3330" w:type="dxa"/>
            <w:vAlign w:val="center"/>
          </w:tcPr>
          <w:p w14:paraId="55E0C6D9" w14:textId="77777777" w:rsidR="0040310E" w:rsidRPr="00BD0907" w:rsidRDefault="0040310E" w:rsidP="00980799">
            <w:pPr>
              <w:jc w:val="center"/>
              <w:rPr>
                <w:b/>
                <w:sz w:val="20"/>
                <w:szCs w:val="20"/>
              </w:rPr>
            </w:pPr>
            <w:r w:rsidRPr="00BD0907">
              <w:rPr>
                <w:b/>
                <w:sz w:val="20"/>
                <w:szCs w:val="20"/>
              </w:rPr>
              <w:t>Outcome</w:t>
            </w:r>
          </w:p>
        </w:tc>
        <w:tc>
          <w:tcPr>
            <w:tcW w:w="2160" w:type="dxa"/>
            <w:vAlign w:val="center"/>
          </w:tcPr>
          <w:p w14:paraId="2B395AC2" w14:textId="77777777" w:rsidR="0040310E" w:rsidRPr="00BD0907" w:rsidRDefault="0040310E" w:rsidP="00980799">
            <w:pPr>
              <w:jc w:val="center"/>
              <w:rPr>
                <w:b/>
                <w:sz w:val="20"/>
                <w:szCs w:val="20"/>
              </w:rPr>
            </w:pPr>
            <w:r w:rsidRPr="00BD0907">
              <w:rPr>
                <w:b/>
                <w:sz w:val="20"/>
                <w:szCs w:val="20"/>
              </w:rPr>
              <w:t>Measures of Progress</w:t>
            </w:r>
          </w:p>
        </w:tc>
        <w:tc>
          <w:tcPr>
            <w:tcW w:w="1620" w:type="dxa"/>
            <w:vAlign w:val="center"/>
          </w:tcPr>
          <w:p w14:paraId="525B9BD8" w14:textId="77777777" w:rsidR="0040310E" w:rsidRPr="00BD0907" w:rsidRDefault="0040310E" w:rsidP="00980799">
            <w:pPr>
              <w:jc w:val="center"/>
              <w:rPr>
                <w:b/>
                <w:sz w:val="20"/>
                <w:szCs w:val="20"/>
              </w:rPr>
            </w:pPr>
            <w:r w:rsidRPr="00BD0907">
              <w:rPr>
                <w:b/>
                <w:sz w:val="20"/>
                <w:szCs w:val="20"/>
              </w:rPr>
              <w:t>Responsible Parties</w:t>
            </w:r>
          </w:p>
        </w:tc>
        <w:tc>
          <w:tcPr>
            <w:tcW w:w="1188" w:type="dxa"/>
            <w:vAlign w:val="center"/>
          </w:tcPr>
          <w:p w14:paraId="1F767F5E" w14:textId="77777777" w:rsidR="0040310E" w:rsidRPr="00BD0907" w:rsidRDefault="0040310E" w:rsidP="00980799">
            <w:pPr>
              <w:jc w:val="center"/>
              <w:rPr>
                <w:b/>
                <w:sz w:val="20"/>
                <w:szCs w:val="20"/>
              </w:rPr>
            </w:pPr>
            <w:r w:rsidRPr="00BD0907">
              <w:rPr>
                <w:b/>
                <w:sz w:val="20"/>
                <w:szCs w:val="20"/>
              </w:rPr>
              <w:t>Timeline</w:t>
            </w:r>
          </w:p>
        </w:tc>
      </w:tr>
      <w:tr w:rsidR="0040310E" w14:paraId="3EC05E8A" w14:textId="77777777" w:rsidTr="00980799">
        <w:tc>
          <w:tcPr>
            <w:tcW w:w="1278" w:type="dxa"/>
            <w:vAlign w:val="center"/>
          </w:tcPr>
          <w:p w14:paraId="6193447D" w14:textId="77777777" w:rsidR="0040310E" w:rsidRDefault="0040310E" w:rsidP="00980799">
            <w:pPr>
              <w:jc w:val="center"/>
            </w:pPr>
            <w:r>
              <w:t>1.B</w:t>
            </w:r>
          </w:p>
        </w:tc>
        <w:tc>
          <w:tcPr>
            <w:tcW w:w="3330" w:type="dxa"/>
          </w:tcPr>
          <w:p w14:paraId="69B762A6" w14:textId="77777777" w:rsidR="0040310E" w:rsidRPr="00376329" w:rsidRDefault="0040310E" w:rsidP="00980799">
            <w:pPr>
              <w:rPr>
                <w:i/>
              </w:rPr>
            </w:pPr>
            <w:r>
              <w:t xml:space="preserve">Implement </w:t>
            </w:r>
            <w:r>
              <w:rPr>
                <w:i/>
              </w:rPr>
              <w:t>Tableau</w:t>
            </w:r>
          </w:p>
        </w:tc>
        <w:tc>
          <w:tcPr>
            <w:tcW w:w="2160" w:type="dxa"/>
          </w:tcPr>
          <w:p w14:paraId="3B506215" w14:textId="77777777" w:rsidR="0040310E" w:rsidRDefault="0040310E" w:rsidP="00980799">
            <w:r>
              <w:t>Satisfaction Surveys</w:t>
            </w:r>
          </w:p>
          <w:p w14:paraId="15CF8910" w14:textId="77777777" w:rsidR="0040310E" w:rsidRDefault="0040310E" w:rsidP="00980799">
            <w:r>
              <w:t>Usage Reports</w:t>
            </w:r>
          </w:p>
        </w:tc>
        <w:tc>
          <w:tcPr>
            <w:tcW w:w="1620" w:type="dxa"/>
          </w:tcPr>
          <w:p w14:paraId="55C9DE96" w14:textId="77777777" w:rsidR="0040310E" w:rsidRDefault="0040310E" w:rsidP="00980799">
            <w:r>
              <w:t>Office of Institutional Research</w:t>
            </w:r>
          </w:p>
        </w:tc>
        <w:tc>
          <w:tcPr>
            <w:tcW w:w="1188" w:type="dxa"/>
          </w:tcPr>
          <w:p w14:paraId="3C6D0E0A" w14:textId="1E033043" w:rsidR="0040310E" w:rsidRDefault="00625DB8" w:rsidP="00980799">
            <w:r>
              <w:t>Spring 2017</w:t>
            </w:r>
          </w:p>
        </w:tc>
      </w:tr>
      <w:tr w:rsidR="0040310E" w14:paraId="2894CF5F" w14:textId="77777777" w:rsidTr="00980799">
        <w:tc>
          <w:tcPr>
            <w:tcW w:w="1278" w:type="dxa"/>
            <w:vAlign w:val="center"/>
          </w:tcPr>
          <w:p w14:paraId="74F7A3DB" w14:textId="77777777" w:rsidR="0040310E" w:rsidRDefault="0040310E" w:rsidP="00980799">
            <w:pPr>
              <w:jc w:val="center"/>
            </w:pPr>
            <w:r>
              <w:t>3.A</w:t>
            </w:r>
          </w:p>
        </w:tc>
        <w:tc>
          <w:tcPr>
            <w:tcW w:w="3330" w:type="dxa"/>
          </w:tcPr>
          <w:p w14:paraId="5B55EC96" w14:textId="77777777" w:rsidR="0040310E" w:rsidRDefault="0040310E" w:rsidP="00980799">
            <w:r>
              <w:t xml:space="preserve">Advanced </w:t>
            </w:r>
            <w:r w:rsidRPr="00376329">
              <w:rPr>
                <w:i/>
              </w:rPr>
              <w:t>Tableau</w:t>
            </w:r>
            <w:r>
              <w:t xml:space="preserve"> Training Sessions for </w:t>
            </w:r>
            <w:r w:rsidRPr="00376329">
              <w:t>Technical</w:t>
            </w:r>
            <w:r>
              <w:t xml:space="preserve"> Data Specialists and Research Analyst</w:t>
            </w:r>
          </w:p>
        </w:tc>
        <w:tc>
          <w:tcPr>
            <w:tcW w:w="2160" w:type="dxa"/>
          </w:tcPr>
          <w:p w14:paraId="0A622337" w14:textId="77777777" w:rsidR="0040310E" w:rsidRDefault="0040310E" w:rsidP="00980799">
            <w:r>
              <w:t>Attendance at Training Sessions</w:t>
            </w:r>
          </w:p>
          <w:p w14:paraId="71EDBDF5" w14:textId="77777777" w:rsidR="0040310E" w:rsidRDefault="0040310E" w:rsidP="00980799">
            <w:r>
              <w:t>Staff Feedback</w:t>
            </w:r>
          </w:p>
        </w:tc>
        <w:tc>
          <w:tcPr>
            <w:tcW w:w="1620" w:type="dxa"/>
          </w:tcPr>
          <w:p w14:paraId="489D5D0F" w14:textId="77777777" w:rsidR="0040310E" w:rsidRDefault="0040310E" w:rsidP="00980799">
            <w:r>
              <w:t>Institutional Research Advisory Committee (District Committee)</w:t>
            </w:r>
          </w:p>
        </w:tc>
        <w:tc>
          <w:tcPr>
            <w:tcW w:w="1188" w:type="dxa"/>
          </w:tcPr>
          <w:p w14:paraId="5807E86E" w14:textId="58DCBC57" w:rsidR="0040310E" w:rsidRDefault="00625DB8" w:rsidP="00980799">
            <w:r>
              <w:t>Spring 2017</w:t>
            </w:r>
          </w:p>
          <w:p w14:paraId="408E27AC" w14:textId="10ACD221" w:rsidR="0040310E" w:rsidRDefault="0040310E" w:rsidP="00980799"/>
        </w:tc>
      </w:tr>
      <w:tr w:rsidR="0040310E" w14:paraId="5CD6EC22" w14:textId="77777777" w:rsidTr="00980799">
        <w:tc>
          <w:tcPr>
            <w:tcW w:w="1278" w:type="dxa"/>
            <w:vAlign w:val="center"/>
          </w:tcPr>
          <w:p w14:paraId="6FE439D7" w14:textId="77777777" w:rsidR="0040310E" w:rsidRDefault="0040310E" w:rsidP="00980799">
            <w:pPr>
              <w:jc w:val="center"/>
            </w:pPr>
            <w:r>
              <w:t>3.A</w:t>
            </w:r>
          </w:p>
        </w:tc>
        <w:tc>
          <w:tcPr>
            <w:tcW w:w="3330" w:type="dxa"/>
          </w:tcPr>
          <w:p w14:paraId="218BCE24" w14:textId="77777777" w:rsidR="0040310E" w:rsidRPr="00376329" w:rsidRDefault="0040310E" w:rsidP="00980799">
            <w:r>
              <w:t xml:space="preserve">Advance </w:t>
            </w:r>
            <w:r>
              <w:rPr>
                <w:i/>
              </w:rPr>
              <w:t>Argos</w:t>
            </w:r>
            <w:r>
              <w:t xml:space="preserve"> Training Sessions for </w:t>
            </w:r>
            <w:r w:rsidRPr="00376329">
              <w:t>Technical</w:t>
            </w:r>
            <w:r>
              <w:t xml:space="preserve"> Data Specialists and Research Analyst</w:t>
            </w:r>
          </w:p>
        </w:tc>
        <w:tc>
          <w:tcPr>
            <w:tcW w:w="2160" w:type="dxa"/>
          </w:tcPr>
          <w:p w14:paraId="0B6FF740" w14:textId="77777777" w:rsidR="0040310E" w:rsidRDefault="0040310E" w:rsidP="00980799">
            <w:r>
              <w:t>Attendance at Training Sessions</w:t>
            </w:r>
          </w:p>
          <w:p w14:paraId="616D0041" w14:textId="77777777" w:rsidR="0040310E" w:rsidRDefault="0040310E" w:rsidP="00980799">
            <w:r>
              <w:t>Staff Feedback</w:t>
            </w:r>
          </w:p>
        </w:tc>
        <w:tc>
          <w:tcPr>
            <w:tcW w:w="1620" w:type="dxa"/>
          </w:tcPr>
          <w:p w14:paraId="2DAFABAF" w14:textId="77777777" w:rsidR="0040310E" w:rsidRDefault="0040310E" w:rsidP="00980799">
            <w:r>
              <w:t>Institutional Research Advisory Committee (District Committee)</w:t>
            </w:r>
          </w:p>
        </w:tc>
        <w:tc>
          <w:tcPr>
            <w:tcW w:w="1188" w:type="dxa"/>
          </w:tcPr>
          <w:p w14:paraId="159D02F4" w14:textId="70301DF1" w:rsidR="00625DB8" w:rsidRDefault="00697318" w:rsidP="00625DB8">
            <w:r>
              <w:t>Spring 2017</w:t>
            </w:r>
          </w:p>
          <w:p w14:paraId="18C1C608" w14:textId="5105EBCB" w:rsidR="0040310E" w:rsidRDefault="0040310E" w:rsidP="00625DB8"/>
        </w:tc>
      </w:tr>
      <w:tr w:rsidR="00ED2D88" w14:paraId="1606AD45" w14:textId="77777777" w:rsidTr="00980799">
        <w:tc>
          <w:tcPr>
            <w:tcW w:w="1278" w:type="dxa"/>
            <w:vAlign w:val="center"/>
          </w:tcPr>
          <w:p w14:paraId="08A35E2D" w14:textId="337C8D98" w:rsidR="00ED2D88" w:rsidRDefault="00ED2D88" w:rsidP="00980799">
            <w:pPr>
              <w:jc w:val="center"/>
            </w:pPr>
            <w:r>
              <w:t>4.A</w:t>
            </w:r>
          </w:p>
        </w:tc>
        <w:tc>
          <w:tcPr>
            <w:tcW w:w="3330" w:type="dxa"/>
          </w:tcPr>
          <w:p w14:paraId="7E60974C" w14:textId="4C50DCAE" w:rsidR="00ED2D88" w:rsidRDefault="00ED2D88" w:rsidP="00980799">
            <w:r>
              <w:t>Program Planning Dashboard</w:t>
            </w:r>
          </w:p>
        </w:tc>
        <w:tc>
          <w:tcPr>
            <w:tcW w:w="2160" w:type="dxa"/>
          </w:tcPr>
          <w:p w14:paraId="552EDE98" w14:textId="77777777" w:rsidR="00ED2D88" w:rsidRDefault="00ED2D88" w:rsidP="00980799">
            <w:r>
              <w:t>Usage rates</w:t>
            </w:r>
          </w:p>
          <w:p w14:paraId="5A992C3A" w14:textId="021E4FD4" w:rsidR="00ED2D88" w:rsidRDefault="00ED2D88" w:rsidP="00980799">
            <w:r>
              <w:t>Satisfaction surveys</w:t>
            </w:r>
          </w:p>
        </w:tc>
        <w:tc>
          <w:tcPr>
            <w:tcW w:w="1620" w:type="dxa"/>
          </w:tcPr>
          <w:p w14:paraId="4142A362" w14:textId="5FE92CFD" w:rsidR="00ED2D88" w:rsidRDefault="00ED2D88" w:rsidP="00980799">
            <w:r>
              <w:t>Office of Institutional Research</w:t>
            </w:r>
          </w:p>
        </w:tc>
        <w:tc>
          <w:tcPr>
            <w:tcW w:w="1188" w:type="dxa"/>
          </w:tcPr>
          <w:p w14:paraId="3482B92C" w14:textId="0F6FCFDD" w:rsidR="00ED2D88" w:rsidRDefault="00ED2D88" w:rsidP="00625DB8">
            <w:r>
              <w:t>Fall 2017</w:t>
            </w:r>
          </w:p>
        </w:tc>
      </w:tr>
      <w:tr w:rsidR="00ED2D88" w14:paraId="01AD8139" w14:textId="77777777" w:rsidTr="00980799">
        <w:tc>
          <w:tcPr>
            <w:tcW w:w="1278" w:type="dxa"/>
            <w:vAlign w:val="center"/>
          </w:tcPr>
          <w:p w14:paraId="28889DB0" w14:textId="4F86159E" w:rsidR="00ED2D88" w:rsidRDefault="00ED2D88" w:rsidP="00980799">
            <w:pPr>
              <w:jc w:val="center"/>
            </w:pPr>
            <w:r>
              <w:t>4.A</w:t>
            </w:r>
          </w:p>
        </w:tc>
        <w:tc>
          <w:tcPr>
            <w:tcW w:w="3330" w:type="dxa"/>
          </w:tcPr>
          <w:p w14:paraId="1C162794" w14:textId="65F84169" w:rsidR="00ED2D88" w:rsidRDefault="00ED2D88" w:rsidP="00980799">
            <w:r>
              <w:t>Schedule Development Dashboard</w:t>
            </w:r>
          </w:p>
        </w:tc>
        <w:tc>
          <w:tcPr>
            <w:tcW w:w="2160" w:type="dxa"/>
          </w:tcPr>
          <w:p w14:paraId="7FF25260" w14:textId="77777777" w:rsidR="00ED2D88" w:rsidRDefault="00ED2D88" w:rsidP="00980799">
            <w:r>
              <w:t>Usage rates</w:t>
            </w:r>
          </w:p>
          <w:p w14:paraId="18F92CEA" w14:textId="0E4F2909" w:rsidR="00ED2D88" w:rsidRDefault="00ED2D88" w:rsidP="00980799">
            <w:r>
              <w:t>Satisfaction surveys</w:t>
            </w:r>
          </w:p>
        </w:tc>
        <w:tc>
          <w:tcPr>
            <w:tcW w:w="1620" w:type="dxa"/>
          </w:tcPr>
          <w:p w14:paraId="2A3CBFD0" w14:textId="0DE5F100" w:rsidR="00ED2D88" w:rsidRDefault="00ED2D88" w:rsidP="00980799">
            <w:r>
              <w:t>Office of Institutional Research</w:t>
            </w:r>
          </w:p>
        </w:tc>
        <w:tc>
          <w:tcPr>
            <w:tcW w:w="1188" w:type="dxa"/>
          </w:tcPr>
          <w:p w14:paraId="779747E1" w14:textId="495B3F5A" w:rsidR="00ED2D88" w:rsidRDefault="00ED2D88" w:rsidP="00625DB8">
            <w:r>
              <w:t>Spring 2018</w:t>
            </w:r>
          </w:p>
        </w:tc>
      </w:tr>
      <w:tr w:rsidR="00ED2D88" w14:paraId="208B632A" w14:textId="77777777" w:rsidTr="00980799">
        <w:tc>
          <w:tcPr>
            <w:tcW w:w="1278" w:type="dxa"/>
            <w:vAlign w:val="center"/>
          </w:tcPr>
          <w:p w14:paraId="21B24C7B" w14:textId="4C9A3BEE" w:rsidR="00ED2D88" w:rsidRDefault="00ED2D88" w:rsidP="00980799">
            <w:pPr>
              <w:jc w:val="center"/>
            </w:pPr>
            <w:r>
              <w:t>4.A</w:t>
            </w:r>
          </w:p>
        </w:tc>
        <w:tc>
          <w:tcPr>
            <w:tcW w:w="3330" w:type="dxa"/>
          </w:tcPr>
          <w:p w14:paraId="502CCABF" w14:textId="53FA0A4D" w:rsidR="00ED2D88" w:rsidRDefault="00ED2D88" w:rsidP="00980799">
            <w:r>
              <w:t>Student Success &amp; Equity Dashboard</w:t>
            </w:r>
          </w:p>
        </w:tc>
        <w:tc>
          <w:tcPr>
            <w:tcW w:w="2160" w:type="dxa"/>
          </w:tcPr>
          <w:p w14:paraId="3A6A1AF1" w14:textId="77777777" w:rsidR="00ED2D88" w:rsidRDefault="00ED2D88" w:rsidP="00980799">
            <w:r>
              <w:t>Usage rates</w:t>
            </w:r>
          </w:p>
          <w:p w14:paraId="616AE6D7" w14:textId="139869C4" w:rsidR="00ED2D88" w:rsidRDefault="00ED2D88" w:rsidP="00980799">
            <w:r>
              <w:t>Satisfaction surveys</w:t>
            </w:r>
          </w:p>
        </w:tc>
        <w:tc>
          <w:tcPr>
            <w:tcW w:w="1620" w:type="dxa"/>
          </w:tcPr>
          <w:p w14:paraId="5D269DB2" w14:textId="591E525A" w:rsidR="00ED2D88" w:rsidRDefault="00ED2D88" w:rsidP="00980799">
            <w:r w:rsidRPr="00731A8A">
              <w:t>Office of Institutional Research</w:t>
            </w:r>
          </w:p>
        </w:tc>
        <w:tc>
          <w:tcPr>
            <w:tcW w:w="1188" w:type="dxa"/>
          </w:tcPr>
          <w:p w14:paraId="2D7C9C78" w14:textId="7B4A31D7" w:rsidR="00ED2D88" w:rsidRDefault="00ED2D88" w:rsidP="00625DB8">
            <w:r>
              <w:t>Fall 2018</w:t>
            </w:r>
          </w:p>
        </w:tc>
      </w:tr>
      <w:tr w:rsidR="00ED2D88" w14:paraId="009EFA4A" w14:textId="77777777" w:rsidTr="00980799">
        <w:tc>
          <w:tcPr>
            <w:tcW w:w="1278" w:type="dxa"/>
            <w:vAlign w:val="center"/>
          </w:tcPr>
          <w:p w14:paraId="629F3001" w14:textId="6866FB91" w:rsidR="00ED2D88" w:rsidRDefault="00ED2D88" w:rsidP="00980799">
            <w:pPr>
              <w:jc w:val="center"/>
            </w:pPr>
            <w:r>
              <w:t>4.A</w:t>
            </w:r>
          </w:p>
        </w:tc>
        <w:tc>
          <w:tcPr>
            <w:tcW w:w="3330" w:type="dxa"/>
          </w:tcPr>
          <w:p w14:paraId="10017AFF" w14:textId="51CDCA42" w:rsidR="00ED2D88" w:rsidRDefault="00ED2D88" w:rsidP="00980799">
            <w:r>
              <w:t>Determine Additional Dashboard Needs</w:t>
            </w:r>
          </w:p>
        </w:tc>
        <w:tc>
          <w:tcPr>
            <w:tcW w:w="2160" w:type="dxa"/>
          </w:tcPr>
          <w:p w14:paraId="5ED524FC" w14:textId="77777777" w:rsidR="00ED2D88" w:rsidRDefault="00ED2D88" w:rsidP="00980799">
            <w:r>
              <w:t>Satisfaction surveys</w:t>
            </w:r>
          </w:p>
          <w:p w14:paraId="23D839F1" w14:textId="31F8BDAD" w:rsidR="00ED2D88" w:rsidRDefault="00ED2D88" w:rsidP="00980799">
            <w:r>
              <w:t>Focus groups</w:t>
            </w:r>
          </w:p>
        </w:tc>
        <w:tc>
          <w:tcPr>
            <w:tcW w:w="1620" w:type="dxa"/>
          </w:tcPr>
          <w:p w14:paraId="393399F5" w14:textId="2E915F6E" w:rsidR="00ED2D88" w:rsidRDefault="00ED2D88" w:rsidP="00980799">
            <w:r>
              <w:t>Office of Institutional Research</w:t>
            </w:r>
          </w:p>
        </w:tc>
        <w:tc>
          <w:tcPr>
            <w:tcW w:w="1188" w:type="dxa"/>
          </w:tcPr>
          <w:p w14:paraId="0BA629D1" w14:textId="1A06C0AD" w:rsidR="00ED2D88" w:rsidRDefault="00ED2D88" w:rsidP="00625DB8">
            <w:r>
              <w:t>Spring 2019</w:t>
            </w:r>
          </w:p>
        </w:tc>
      </w:tr>
    </w:tbl>
    <w:p w14:paraId="450F0671" w14:textId="470709D1" w:rsidR="00F6638B" w:rsidRDefault="00F6638B">
      <w:pPr>
        <w:rPr>
          <w:i/>
          <w:u w:val="single"/>
        </w:rPr>
      </w:pPr>
    </w:p>
    <w:p w14:paraId="74107D33" w14:textId="77777777" w:rsidR="00F6638B" w:rsidRDefault="00F6638B">
      <w:pPr>
        <w:rPr>
          <w:i/>
          <w:u w:val="single"/>
        </w:rPr>
      </w:pPr>
      <w:r>
        <w:rPr>
          <w:i/>
          <w:u w:val="single"/>
        </w:rPr>
        <w:br w:type="page"/>
      </w:r>
    </w:p>
    <w:p w14:paraId="10A28CFA" w14:textId="77777777" w:rsidR="0076551A" w:rsidRDefault="0076551A">
      <w:pPr>
        <w:rPr>
          <w:i/>
          <w:u w:val="single"/>
        </w:rPr>
      </w:pPr>
    </w:p>
    <w:p w14:paraId="1B907B60" w14:textId="147E1C44" w:rsidR="00C120CF" w:rsidRDefault="00C120CF" w:rsidP="00C120CF">
      <w:pPr>
        <w:rPr>
          <w:i/>
          <w:u w:val="single"/>
        </w:rPr>
      </w:pPr>
      <w:r w:rsidRPr="00443D7C">
        <w:rPr>
          <w:i/>
          <w:u w:val="single"/>
        </w:rPr>
        <w:t xml:space="preserve">Step </w:t>
      </w:r>
      <w:r>
        <w:rPr>
          <w:i/>
          <w:u w:val="single"/>
        </w:rPr>
        <w:t>3</w:t>
      </w:r>
      <w:r w:rsidRPr="00443D7C">
        <w:rPr>
          <w:i/>
          <w:u w:val="single"/>
        </w:rPr>
        <w:t xml:space="preserve">: </w:t>
      </w:r>
      <w:r>
        <w:rPr>
          <w:i/>
          <w:u w:val="single"/>
        </w:rPr>
        <w:t xml:space="preserve">Develop Ongoing Professional Development Opportunities Regarding Research and Data Use </w:t>
      </w:r>
    </w:p>
    <w:p w14:paraId="096AE6E1" w14:textId="2EBF3472" w:rsidR="00F92CBD" w:rsidRPr="00F92CBD" w:rsidRDefault="00F92CBD" w:rsidP="00C120CF">
      <w:r>
        <w:t>In order ensure easier and more user-friendly access to data, the College will promote the use of these new tools by effectively communicating to the campus the existence of the dashboards, providing training to all campus groups, and gathering feedback on how to improve the tools.</w:t>
      </w:r>
    </w:p>
    <w:tbl>
      <w:tblPr>
        <w:tblStyle w:val="TableGrid"/>
        <w:tblW w:w="0" w:type="auto"/>
        <w:tblLook w:val="04A0" w:firstRow="1" w:lastRow="0" w:firstColumn="1" w:lastColumn="0" w:noHBand="0" w:noVBand="1"/>
      </w:tblPr>
      <w:tblGrid>
        <w:gridCol w:w="1278"/>
        <w:gridCol w:w="3330"/>
        <w:gridCol w:w="2160"/>
        <w:gridCol w:w="1620"/>
        <w:gridCol w:w="1188"/>
      </w:tblGrid>
      <w:tr w:rsidR="00C120CF" w14:paraId="6C099D47" w14:textId="77777777" w:rsidTr="00A25631">
        <w:tc>
          <w:tcPr>
            <w:tcW w:w="1278" w:type="dxa"/>
            <w:vAlign w:val="center"/>
          </w:tcPr>
          <w:p w14:paraId="10D9E56C" w14:textId="77777777" w:rsidR="00C120CF" w:rsidRPr="00BD0907" w:rsidRDefault="00C120CF" w:rsidP="00A25631">
            <w:pPr>
              <w:jc w:val="center"/>
              <w:rPr>
                <w:b/>
                <w:sz w:val="20"/>
                <w:szCs w:val="20"/>
              </w:rPr>
            </w:pPr>
            <w:r w:rsidRPr="00BD0907">
              <w:rPr>
                <w:b/>
                <w:sz w:val="20"/>
                <w:szCs w:val="20"/>
              </w:rPr>
              <w:t>Relevant Standard(s)</w:t>
            </w:r>
          </w:p>
        </w:tc>
        <w:tc>
          <w:tcPr>
            <w:tcW w:w="3330" w:type="dxa"/>
            <w:vAlign w:val="center"/>
          </w:tcPr>
          <w:p w14:paraId="12432805" w14:textId="77777777" w:rsidR="00C120CF" w:rsidRPr="00BD0907" w:rsidRDefault="00C120CF" w:rsidP="00A25631">
            <w:pPr>
              <w:jc w:val="center"/>
              <w:rPr>
                <w:b/>
                <w:sz w:val="20"/>
                <w:szCs w:val="20"/>
              </w:rPr>
            </w:pPr>
            <w:r w:rsidRPr="00BD0907">
              <w:rPr>
                <w:b/>
                <w:sz w:val="20"/>
                <w:szCs w:val="20"/>
              </w:rPr>
              <w:t>Outcome</w:t>
            </w:r>
          </w:p>
        </w:tc>
        <w:tc>
          <w:tcPr>
            <w:tcW w:w="2160" w:type="dxa"/>
            <w:vAlign w:val="center"/>
          </w:tcPr>
          <w:p w14:paraId="3562FBBE" w14:textId="77777777" w:rsidR="00C120CF" w:rsidRPr="00BD0907" w:rsidRDefault="00C120CF" w:rsidP="00A25631">
            <w:pPr>
              <w:jc w:val="center"/>
              <w:rPr>
                <w:b/>
                <w:sz w:val="20"/>
                <w:szCs w:val="20"/>
              </w:rPr>
            </w:pPr>
            <w:r w:rsidRPr="00BD0907">
              <w:rPr>
                <w:b/>
                <w:sz w:val="20"/>
                <w:szCs w:val="20"/>
              </w:rPr>
              <w:t>Measures of Progress</w:t>
            </w:r>
          </w:p>
        </w:tc>
        <w:tc>
          <w:tcPr>
            <w:tcW w:w="1620" w:type="dxa"/>
            <w:vAlign w:val="center"/>
          </w:tcPr>
          <w:p w14:paraId="31607D25" w14:textId="77777777" w:rsidR="00C120CF" w:rsidRPr="00BD0907" w:rsidRDefault="00C120CF" w:rsidP="00A25631">
            <w:pPr>
              <w:jc w:val="center"/>
              <w:rPr>
                <w:b/>
                <w:sz w:val="20"/>
                <w:szCs w:val="20"/>
              </w:rPr>
            </w:pPr>
            <w:r w:rsidRPr="00BD0907">
              <w:rPr>
                <w:b/>
                <w:sz w:val="20"/>
                <w:szCs w:val="20"/>
              </w:rPr>
              <w:t>Responsible Parties</w:t>
            </w:r>
          </w:p>
        </w:tc>
        <w:tc>
          <w:tcPr>
            <w:tcW w:w="1188" w:type="dxa"/>
            <w:vAlign w:val="center"/>
          </w:tcPr>
          <w:p w14:paraId="5DADB51A" w14:textId="77777777" w:rsidR="00C120CF" w:rsidRPr="00BD0907" w:rsidRDefault="00C120CF" w:rsidP="00A25631">
            <w:pPr>
              <w:jc w:val="center"/>
              <w:rPr>
                <w:b/>
                <w:sz w:val="20"/>
                <w:szCs w:val="20"/>
              </w:rPr>
            </w:pPr>
            <w:r w:rsidRPr="00BD0907">
              <w:rPr>
                <w:b/>
                <w:sz w:val="20"/>
                <w:szCs w:val="20"/>
              </w:rPr>
              <w:t>Timeline</w:t>
            </w:r>
          </w:p>
        </w:tc>
      </w:tr>
      <w:tr w:rsidR="00891040" w14:paraId="59E84985" w14:textId="77777777" w:rsidTr="00A25631">
        <w:tc>
          <w:tcPr>
            <w:tcW w:w="1278" w:type="dxa"/>
            <w:vAlign w:val="center"/>
          </w:tcPr>
          <w:p w14:paraId="47E3B024" w14:textId="26D0CC02" w:rsidR="00891040" w:rsidRDefault="00891040" w:rsidP="00A25631">
            <w:pPr>
              <w:jc w:val="center"/>
            </w:pPr>
            <w:r>
              <w:t>3.A</w:t>
            </w:r>
          </w:p>
        </w:tc>
        <w:tc>
          <w:tcPr>
            <w:tcW w:w="3330" w:type="dxa"/>
          </w:tcPr>
          <w:p w14:paraId="04E93EF5" w14:textId="4C234FED" w:rsidR="00891040" w:rsidRDefault="00891040" w:rsidP="00C120CF">
            <w:r>
              <w:t>“Get to Know Your Research Team” – Topical/Themed Workshops</w:t>
            </w:r>
          </w:p>
        </w:tc>
        <w:tc>
          <w:tcPr>
            <w:tcW w:w="2160" w:type="dxa"/>
          </w:tcPr>
          <w:p w14:paraId="0320E35F" w14:textId="73FD012F" w:rsidR="00891040" w:rsidRDefault="00891040" w:rsidP="00A25631">
            <w:r>
              <w:t>Feedback from workshops</w:t>
            </w:r>
          </w:p>
        </w:tc>
        <w:tc>
          <w:tcPr>
            <w:tcW w:w="1620" w:type="dxa"/>
          </w:tcPr>
          <w:p w14:paraId="3DC540FA" w14:textId="77777777" w:rsidR="00891040" w:rsidRDefault="00891040" w:rsidP="00980799">
            <w:r>
              <w:t>Professional Development</w:t>
            </w:r>
          </w:p>
          <w:p w14:paraId="535A9EBF" w14:textId="77777777" w:rsidR="00891040" w:rsidRDefault="00891040" w:rsidP="00980799"/>
          <w:p w14:paraId="1FBF66FD" w14:textId="5688DCC1" w:rsidR="00891040" w:rsidRDefault="00891040" w:rsidP="00A25631">
            <w:r>
              <w:t>Office of Institutional Research</w:t>
            </w:r>
          </w:p>
        </w:tc>
        <w:tc>
          <w:tcPr>
            <w:tcW w:w="1188" w:type="dxa"/>
          </w:tcPr>
          <w:p w14:paraId="0CDEC996" w14:textId="038625B3" w:rsidR="00891040" w:rsidRDefault="00DE20F1" w:rsidP="00A25631">
            <w:r>
              <w:t>Ongoing-Spring 2017</w:t>
            </w:r>
          </w:p>
        </w:tc>
      </w:tr>
      <w:tr w:rsidR="00891040" w14:paraId="6F2787F5" w14:textId="77777777" w:rsidTr="00A25631">
        <w:tc>
          <w:tcPr>
            <w:tcW w:w="1278" w:type="dxa"/>
            <w:vAlign w:val="center"/>
          </w:tcPr>
          <w:p w14:paraId="3F595ED7" w14:textId="77777777" w:rsidR="00891040" w:rsidRDefault="00891040" w:rsidP="00A25631">
            <w:pPr>
              <w:jc w:val="center"/>
            </w:pPr>
          </w:p>
        </w:tc>
        <w:tc>
          <w:tcPr>
            <w:tcW w:w="3330" w:type="dxa"/>
          </w:tcPr>
          <w:p w14:paraId="62982AAE" w14:textId="68A7F18E" w:rsidR="00891040" w:rsidRDefault="00891040" w:rsidP="00A25631">
            <w:r>
              <w:t>Professional Development Week Sessions</w:t>
            </w:r>
          </w:p>
        </w:tc>
        <w:tc>
          <w:tcPr>
            <w:tcW w:w="2160" w:type="dxa"/>
          </w:tcPr>
          <w:p w14:paraId="02AA477B" w14:textId="723828E5" w:rsidR="00891040" w:rsidRDefault="00891040" w:rsidP="00A25631">
            <w:r>
              <w:t>Feedback from workshops</w:t>
            </w:r>
          </w:p>
        </w:tc>
        <w:tc>
          <w:tcPr>
            <w:tcW w:w="1620" w:type="dxa"/>
          </w:tcPr>
          <w:p w14:paraId="1696148B" w14:textId="77777777" w:rsidR="00891040" w:rsidRDefault="00891040" w:rsidP="00A25631">
            <w:r>
              <w:t>Professional Development</w:t>
            </w:r>
          </w:p>
          <w:p w14:paraId="669452F7" w14:textId="77777777" w:rsidR="00891040" w:rsidRDefault="00891040" w:rsidP="00A25631"/>
          <w:p w14:paraId="5984ED3C" w14:textId="633FB3B5" w:rsidR="00891040" w:rsidRDefault="00891040" w:rsidP="00A25631">
            <w:r>
              <w:t>Office of Institutional Research</w:t>
            </w:r>
          </w:p>
        </w:tc>
        <w:tc>
          <w:tcPr>
            <w:tcW w:w="1188" w:type="dxa"/>
          </w:tcPr>
          <w:p w14:paraId="5B8DEF70" w14:textId="4C60FF4C" w:rsidR="00891040" w:rsidRDefault="00DE20F1" w:rsidP="00A25631">
            <w:r>
              <w:t>Ongoing-Fall 2017</w:t>
            </w:r>
          </w:p>
        </w:tc>
      </w:tr>
      <w:tr w:rsidR="00891040" w14:paraId="3B347800" w14:textId="77777777" w:rsidTr="00A25631">
        <w:tc>
          <w:tcPr>
            <w:tcW w:w="1278" w:type="dxa"/>
            <w:vAlign w:val="center"/>
          </w:tcPr>
          <w:p w14:paraId="41788711" w14:textId="169EDF02" w:rsidR="00891040" w:rsidRDefault="00891040" w:rsidP="00A25631">
            <w:pPr>
              <w:jc w:val="center"/>
            </w:pPr>
          </w:p>
        </w:tc>
        <w:tc>
          <w:tcPr>
            <w:tcW w:w="3330" w:type="dxa"/>
          </w:tcPr>
          <w:p w14:paraId="47E26EFE" w14:textId="52C61976" w:rsidR="00891040" w:rsidRDefault="00891040" w:rsidP="00915B5B">
            <w:r>
              <w:t>Develop “How-To” Videos Using Camtasia Software</w:t>
            </w:r>
          </w:p>
        </w:tc>
        <w:tc>
          <w:tcPr>
            <w:tcW w:w="2160" w:type="dxa"/>
          </w:tcPr>
          <w:p w14:paraId="78F84E25" w14:textId="68DAD940" w:rsidR="00891040" w:rsidRDefault="00891040" w:rsidP="00A25631">
            <w:r>
              <w:t>Usage Rates</w:t>
            </w:r>
          </w:p>
          <w:p w14:paraId="54C8DB9E" w14:textId="6F85BEDE" w:rsidR="00891040" w:rsidRDefault="00891040" w:rsidP="00A25631">
            <w:r>
              <w:t>Feedback from workshops</w:t>
            </w:r>
          </w:p>
        </w:tc>
        <w:tc>
          <w:tcPr>
            <w:tcW w:w="1620" w:type="dxa"/>
          </w:tcPr>
          <w:p w14:paraId="389E11F8" w14:textId="2ECD572D" w:rsidR="00891040" w:rsidRDefault="00891040" w:rsidP="00A25631">
            <w:r>
              <w:t>Office of Institutional Research</w:t>
            </w:r>
          </w:p>
        </w:tc>
        <w:tc>
          <w:tcPr>
            <w:tcW w:w="1188" w:type="dxa"/>
          </w:tcPr>
          <w:p w14:paraId="23241B35" w14:textId="402ED416" w:rsidR="00891040" w:rsidRDefault="00DE20F1" w:rsidP="00A25631">
            <w:r>
              <w:t>Spring 2017-Fall 2017</w:t>
            </w:r>
          </w:p>
        </w:tc>
      </w:tr>
    </w:tbl>
    <w:p w14:paraId="1ABB6E05" w14:textId="77777777" w:rsidR="00197AF8" w:rsidRPr="00182341" w:rsidRDefault="00197AF8" w:rsidP="000D447E"/>
    <w:sectPr w:rsidR="00197AF8" w:rsidRPr="001823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83379" w14:textId="77777777" w:rsidR="009F3ED9" w:rsidRDefault="009F3ED9" w:rsidP="000D447E">
      <w:pPr>
        <w:spacing w:after="0" w:line="240" w:lineRule="auto"/>
      </w:pPr>
      <w:r>
        <w:separator/>
      </w:r>
    </w:p>
  </w:endnote>
  <w:endnote w:type="continuationSeparator" w:id="0">
    <w:p w14:paraId="0E7A7552" w14:textId="77777777" w:rsidR="009F3ED9" w:rsidRDefault="009F3ED9" w:rsidP="000D4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DD9F3" w14:textId="77777777" w:rsidR="009F3ED9" w:rsidRDefault="009F3ED9" w:rsidP="000D447E">
      <w:pPr>
        <w:spacing w:after="0" w:line="240" w:lineRule="auto"/>
      </w:pPr>
      <w:r>
        <w:separator/>
      </w:r>
    </w:p>
  </w:footnote>
  <w:footnote w:type="continuationSeparator" w:id="0">
    <w:p w14:paraId="1CC8DED9" w14:textId="77777777" w:rsidR="009F3ED9" w:rsidRDefault="009F3ED9" w:rsidP="000D44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146BC"/>
    <w:multiLevelType w:val="hybridMultilevel"/>
    <w:tmpl w:val="A20E79AC"/>
    <w:lvl w:ilvl="0" w:tplc="0C78A77E">
      <w:numFmt w:val="bullet"/>
      <w:lvlText w:val=""/>
      <w:lvlJc w:val="left"/>
      <w:pPr>
        <w:ind w:left="360" w:hanging="360"/>
      </w:pPr>
      <w:rPr>
        <w:rFonts w:ascii="Symbol" w:eastAsiaTheme="minorHAnsi" w:hAnsi="Symbol" w:cstheme="minorBid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5B2A3B"/>
    <w:multiLevelType w:val="hybridMultilevel"/>
    <w:tmpl w:val="097C263C"/>
    <w:lvl w:ilvl="0" w:tplc="0C78A77E">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E6EE0"/>
    <w:multiLevelType w:val="hybridMultilevel"/>
    <w:tmpl w:val="C3A07AA0"/>
    <w:lvl w:ilvl="0" w:tplc="0C78A77E">
      <w:numFmt w:val="bullet"/>
      <w:lvlText w:val=""/>
      <w:lvlJc w:val="left"/>
      <w:pPr>
        <w:ind w:left="1065"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FF30F5"/>
    <w:multiLevelType w:val="hybridMultilevel"/>
    <w:tmpl w:val="B1547216"/>
    <w:lvl w:ilvl="0" w:tplc="0C78A77E">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971B51"/>
    <w:multiLevelType w:val="hybridMultilevel"/>
    <w:tmpl w:val="CE5061C2"/>
    <w:lvl w:ilvl="0" w:tplc="9198F73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44F52A2"/>
    <w:multiLevelType w:val="hybridMultilevel"/>
    <w:tmpl w:val="9894E244"/>
    <w:lvl w:ilvl="0" w:tplc="0C78A77E">
      <w:numFmt w:val="bullet"/>
      <w:lvlText w:val=""/>
      <w:lvlJc w:val="left"/>
      <w:pPr>
        <w:ind w:left="1065"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C9288C"/>
    <w:multiLevelType w:val="hybridMultilevel"/>
    <w:tmpl w:val="613E113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BB8"/>
    <w:rsid w:val="00055DAD"/>
    <w:rsid w:val="000679B9"/>
    <w:rsid w:val="000B748B"/>
    <w:rsid w:val="000C6BB8"/>
    <w:rsid w:val="000D447E"/>
    <w:rsid w:val="001102BB"/>
    <w:rsid w:val="00150DFA"/>
    <w:rsid w:val="001517E9"/>
    <w:rsid w:val="001736DB"/>
    <w:rsid w:val="00182341"/>
    <w:rsid w:val="00197AF8"/>
    <w:rsid w:val="00224B40"/>
    <w:rsid w:val="002523AF"/>
    <w:rsid w:val="00281BF5"/>
    <w:rsid w:val="002A68D9"/>
    <w:rsid w:val="002B63B0"/>
    <w:rsid w:val="00305566"/>
    <w:rsid w:val="00376329"/>
    <w:rsid w:val="003947C2"/>
    <w:rsid w:val="003B1C82"/>
    <w:rsid w:val="003C2C9F"/>
    <w:rsid w:val="003F2032"/>
    <w:rsid w:val="0040310E"/>
    <w:rsid w:val="00433CDB"/>
    <w:rsid w:val="00443D7C"/>
    <w:rsid w:val="00460F1C"/>
    <w:rsid w:val="00550A91"/>
    <w:rsid w:val="00625DB8"/>
    <w:rsid w:val="006642D8"/>
    <w:rsid w:val="00686884"/>
    <w:rsid w:val="00697318"/>
    <w:rsid w:val="006F38F6"/>
    <w:rsid w:val="00731A8A"/>
    <w:rsid w:val="0076551A"/>
    <w:rsid w:val="007B26FA"/>
    <w:rsid w:val="007B31A4"/>
    <w:rsid w:val="00816379"/>
    <w:rsid w:val="00823523"/>
    <w:rsid w:val="00891040"/>
    <w:rsid w:val="008A0BE0"/>
    <w:rsid w:val="008A6E7A"/>
    <w:rsid w:val="008D3531"/>
    <w:rsid w:val="008F56F3"/>
    <w:rsid w:val="00915B5B"/>
    <w:rsid w:val="00956415"/>
    <w:rsid w:val="009939FE"/>
    <w:rsid w:val="009D1CCF"/>
    <w:rsid w:val="009E750B"/>
    <w:rsid w:val="009F3ED9"/>
    <w:rsid w:val="00A86521"/>
    <w:rsid w:val="00A92CAC"/>
    <w:rsid w:val="00AA490C"/>
    <w:rsid w:val="00BA3A3E"/>
    <w:rsid w:val="00BD0907"/>
    <w:rsid w:val="00C120CF"/>
    <w:rsid w:val="00C42B76"/>
    <w:rsid w:val="00C702B6"/>
    <w:rsid w:val="00CE42F2"/>
    <w:rsid w:val="00D95737"/>
    <w:rsid w:val="00DE20F1"/>
    <w:rsid w:val="00E14A0D"/>
    <w:rsid w:val="00E35DC3"/>
    <w:rsid w:val="00E7155D"/>
    <w:rsid w:val="00ED2D88"/>
    <w:rsid w:val="00EE6402"/>
    <w:rsid w:val="00F6638B"/>
    <w:rsid w:val="00F9125C"/>
    <w:rsid w:val="00F92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6DDA"/>
  <w15:docId w15:val="{9A84E5A0-05A7-4837-9DEE-A283B9EF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DFA"/>
    <w:rPr>
      <w:rFonts w:ascii="Times New Roman" w:hAnsi="Times New Roman" w:cs="Times New Roman"/>
    </w:rPr>
  </w:style>
  <w:style w:type="paragraph" w:styleId="Heading1">
    <w:name w:val="heading 1"/>
    <w:basedOn w:val="Normal"/>
    <w:next w:val="Normal"/>
    <w:link w:val="Heading1Char"/>
    <w:uiPriority w:val="9"/>
    <w:qFormat/>
    <w:rsid w:val="00182341"/>
    <w:pPr>
      <w:outlineLvl w:val="0"/>
    </w:pPr>
    <w:rPr>
      <w:b/>
      <w:sz w:val="28"/>
      <w:szCs w:val="28"/>
    </w:rPr>
  </w:style>
  <w:style w:type="paragraph" w:styleId="Heading2">
    <w:name w:val="heading 2"/>
    <w:basedOn w:val="Normal"/>
    <w:next w:val="Normal"/>
    <w:link w:val="Heading2Char"/>
    <w:uiPriority w:val="9"/>
    <w:unhideWhenUsed/>
    <w:qFormat/>
    <w:rsid w:val="00182341"/>
    <w:pPr>
      <w:pBdr>
        <w:bottom w:val="single" w:sz="4" w:space="1" w:color="auto"/>
      </w:pBdr>
      <w:outlineLvl w:val="1"/>
    </w:pPr>
    <w:rPr>
      <w:b/>
      <w:sz w:val="24"/>
      <w:szCs w:val="24"/>
    </w:rPr>
  </w:style>
  <w:style w:type="paragraph" w:styleId="Heading3">
    <w:name w:val="heading 3"/>
    <w:basedOn w:val="Heading2"/>
    <w:next w:val="Normal"/>
    <w:link w:val="Heading3Char"/>
    <w:uiPriority w:val="9"/>
    <w:unhideWhenUsed/>
    <w:qFormat/>
    <w:rsid w:val="00150DFA"/>
    <w:pPr>
      <w:pBdr>
        <w:bottom w:val="none" w:sz="0" w:space="0" w:color="auto"/>
      </w:pBd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BB8"/>
    <w:pPr>
      <w:ind w:left="720"/>
      <w:contextualSpacing/>
    </w:pPr>
  </w:style>
  <w:style w:type="paragraph" w:styleId="NoSpacing">
    <w:name w:val="No Spacing"/>
    <w:uiPriority w:val="1"/>
    <w:qFormat/>
    <w:rsid w:val="00197AF8"/>
    <w:pPr>
      <w:spacing w:after="0" w:line="240" w:lineRule="auto"/>
    </w:pPr>
  </w:style>
  <w:style w:type="character" w:customStyle="1" w:styleId="Heading1Char">
    <w:name w:val="Heading 1 Char"/>
    <w:basedOn w:val="DefaultParagraphFont"/>
    <w:link w:val="Heading1"/>
    <w:uiPriority w:val="9"/>
    <w:rsid w:val="00182341"/>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182341"/>
    <w:rPr>
      <w:rFonts w:ascii="Times New Roman" w:hAnsi="Times New Roman" w:cs="Times New Roman"/>
      <w:b/>
      <w:sz w:val="24"/>
      <w:szCs w:val="24"/>
    </w:rPr>
  </w:style>
  <w:style w:type="paragraph" w:styleId="BalloonText">
    <w:name w:val="Balloon Text"/>
    <w:basedOn w:val="Normal"/>
    <w:link w:val="BalloonTextChar"/>
    <w:uiPriority w:val="99"/>
    <w:semiHidden/>
    <w:unhideWhenUsed/>
    <w:rsid w:val="00182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341"/>
    <w:rPr>
      <w:rFonts w:ascii="Tahoma" w:hAnsi="Tahoma" w:cs="Tahoma"/>
      <w:sz w:val="16"/>
      <w:szCs w:val="16"/>
    </w:rPr>
  </w:style>
  <w:style w:type="character" w:customStyle="1" w:styleId="Heading3Char">
    <w:name w:val="Heading 3 Char"/>
    <w:basedOn w:val="DefaultParagraphFont"/>
    <w:link w:val="Heading3"/>
    <w:uiPriority w:val="9"/>
    <w:rsid w:val="00150DFA"/>
    <w:rPr>
      <w:rFonts w:ascii="Times New Roman" w:hAnsi="Times New Roman" w:cs="Times New Roman"/>
      <w:b/>
      <w:sz w:val="24"/>
      <w:szCs w:val="24"/>
    </w:rPr>
  </w:style>
  <w:style w:type="table" w:styleId="TableGrid">
    <w:name w:val="Table Grid"/>
    <w:basedOn w:val="TableNormal"/>
    <w:uiPriority w:val="59"/>
    <w:rsid w:val="002B6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4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47E"/>
    <w:rPr>
      <w:rFonts w:ascii="Times New Roman" w:hAnsi="Times New Roman" w:cs="Times New Roman"/>
    </w:rPr>
  </w:style>
  <w:style w:type="paragraph" w:styleId="Footer">
    <w:name w:val="footer"/>
    <w:basedOn w:val="Normal"/>
    <w:link w:val="FooterChar"/>
    <w:uiPriority w:val="99"/>
    <w:unhideWhenUsed/>
    <w:rsid w:val="000D4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47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dwview.vcccd.edu/vcccd_photo/photos/mceng11/index.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5425BC248E9B4297BB04E57DB73DCA" ma:contentTypeVersion="26" ma:contentTypeDescription="Create a new document." ma:contentTypeScope="" ma:versionID="2d51d77666b68780b58008edcabffca7">
  <xsd:schema xmlns:xsd="http://www.w3.org/2001/XMLSchema" xmlns:xs="http://www.w3.org/2001/XMLSchema" xmlns:p="http://schemas.microsoft.com/office/2006/metadata/properties" xmlns:ns2="5a1ef3ca-2fc6-4463-a258-298f128f6958" targetNamespace="http://schemas.microsoft.com/office/2006/metadata/properties" ma:root="true" ma:fieldsID="5cf9bdebc89de5fae3c4f77c2df90ae1" ns2:_="">
    <xsd:import namespace="5a1ef3ca-2fc6-4463-a258-298f128f695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ef3ca-2fc6-4463-a258-298f128f6958"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3"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07D510-0921-4898-AA54-5162A4629D78}">
  <ds:schemaRefs>
    <ds:schemaRef ds:uri="http://schemas.microsoft.com/sharepoint/v3/contenttype/forms"/>
  </ds:schemaRefs>
</ds:datastoreItem>
</file>

<file path=customXml/itemProps2.xml><?xml version="1.0" encoding="utf-8"?>
<ds:datastoreItem xmlns:ds="http://schemas.openxmlformats.org/officeDocument/2006/customXml" ds:itemID="{A435C23B-4F66-4D1D-93AF-C8347F8050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F699A-D68A-4EB4-AF2B-6CF9552AB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ef3ca-2fc6-4463-a258-298f128f6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Mary Rees</cp:lastModifiedBy>
  <cp:revision>2</cp:revision>
  <cp:lastPrinted>2016-04-05T04:36:00Z</cp:lastPrinted>
  <dcterms:created xsi:type="dcterms:W3CDTF">2016-04-05T04:41:00Z</dcterms:created>
  <dcterms:modified xsi:type="dcterms:W3CDTF">2016-04-05T04:41:00Z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0x010100A75425BC248E9B4297BB04E57DB73DCA</vt:lpwstr>
  </property>
</Properties>
</file>