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CD23" w14:textId="77777777" w:rsid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336" w:lineRule="exact"/>
        <w:ind w:left="4255" w:right="4255"/>
        <w:jc w:val="center"/>
        <w:outlineLvl w:val="0"/>
        <w:rPr>
          <w:rFonts w:ascii="Arial" w:hAnsi="Arial" w:cs="Arial"/>
          <w:b/>
          <w:bCs/>
          <w:color w:val="131313"/>
          <w:w w:val="105"/>
          <w:sz w:val="30"/>
          <w:szCs w:val="30"/>
        </w:rPr>
      </w:pPr>
      <w:bookmarkStart w:id="0" w:name="1.4.1Memo_J.A._Dembowski_Dated_02.10.20"/>
      <w:bookmarkStart w:id="1" w:name="_GoBack"/>
      <w:bookmarkEnd w:id="0"/>
      <w:bookmarkEnd w:id="1"/>
    </w:p>
    <w:p w14:paraId="1C1289C4" w14:textId="77777777" w:rsid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336" w:lineRule="exact"/>
        <w:ind w:left="4255" w:right="4255"/>
        <w:jc w:val="center"/>
        <w:outlineLvl w:val="0"/>
        <w:rPr>
          <w:rFonts w:ascii="Arial" w:hAnsi="Arial" w:cs="Arial"/>
          <w:b/>
          <w:bCs/>
          <w:color w:val="131313"/>
          <w:w w:val="105"/>
          <w:sz w:val="30"/>
          <w:szCs w:val="30"/>
        </w:rPr>
      </w:pPr>
    </w:p>
    <w:p w14:paraId="0E3BD3B6" w14:textId="77777777" w:rsid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336" w:lineRule="exact"/>
        <w:ind w:left="4255" w:right="4255"/>
        <w:jc w:val="center"/>
        <w:outlineLvl w:val="0"/>
        <w:rPr>
          <w:rFonts w:ascii="Arial" w:hAnsi="Arial" w:cs="Arial"/>
          <w:b/>
          <w:bCs/>
          <w:color w:val="131313"/>
          <w:w w:val="105"/>
          <w:sz w:val="30"/>
          <w:szCs w:val="30"/>
        </w:rPr>
      </w:pPr>
    </w:p>
    <w:p w14:paraId="2835A6BD" w14:textId="77777777" w:rsidR="00640528" w:rsidRP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336" w:lineRule="exact"/>
        <w:ind w:left="4255" w:right="4255"/>
        <w:jc w:val="center"/>
        <w:outlineLvl w:val="0"/>
        <w:rPr>
          <w:rFonts w:ascii="Arial" w:hAnsi="Arial" w:cs="Arial"/>
          <w:b/>
          <w:bCs/>
          <w:color w:val="131313"/>
          <w:w w:val="105"/>
          <w:sz w:val="30"/>
          <w:szCs w:val="30"/>
        </w:rPr>
      </w:pPr>
      <w:r w:rsidRPr="00640528">
        <w:rPr>
          <w:rFonts w:ascii="Arial" w:hAnsi="Arial" w:cs="Arial"/>
          <w:b/>
          <w:bCs/>
          <w:color w:val="131313"/>
          <w:w w:val="105"/>
          <w:sz w:val="30"/>
          <w:szCs w:val="30"/>
        </w:rPr>
        <w:t>MEMO</w:t>
      </w:r>
    </w:p>
    <w:p w14:paraId="2D4A6E4A" w14:textId="77777777" w:rsid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271" w:lineRule="auto"/>
        <w:ind w:left="1967" w:right="187" w:hanging="1929"/>
        <w:rPr>
          <w:rFonts w:ascii="Arial" w:hAnsi="Arial" w:cs="Arial"/>
          <w:b/>
          <w:bCs/>
          <w:color w:val="131313"/>
          <w:w w:val="105"/>
          <w:sz w:val="30"/>
          <w:szCs w:val="30"/>
        </w:rPr>
      </w:pPr>
      <w:r w:rsidRPr="00640528">
        <w:rPr>
          <w:rFonts w:ascii="Arial" w:hAnsi="Arial" w:cs="Arial"/>
          <w:b/>
          <w:bCs/>
          <w:color w:val="131313"/>
          <w:w w:val="105"/>
          <w:sz w:val="30"/>
          <w:szCs w:val="30"/>
        </w:rPr>
        <w:t>Ventura County Community College District Human Resources</w:t>
      </w:r>
    </w:p>
    <w:p w14:paraId="1B75C741" w14:textId="77777777" w:rsid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271" w:lineRule="auto"/>
        <w:ind w:left="1967" w:right="187" w:hanging="1929"/>
        <w:rPr>
          <w:rFonts w:ascii="Arial" w:hAnsi="Arial" w:cs="Arial"/>
          <w:b/>
          <w:bCs/>
          <w:color w:val="131313"/>
          <w:w w:val="105"/>
          <w:sz w:val="30"/>
          <w:szCs w:val="30"/>
        </w:rPr>
      </w:pPr>
    </w:p>
    <w:p w14:paraId="1069CF33" w14:textId="77777777" w:rsid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7"/>
        <w:rPr>
          <w:rFonts w:ascii="Arial" w:hAnsi="Arial" w:cs="Arial"/>
          <w:bCs/>
          <w:color w:val="131313"/>
          <w:w w:val="105"/>
        </w:rPr>
      </w:pPr>
      <w:r w:rsidRPr="00640528">
        <w:rPr>
          <w:rFonts w:ascii="Arial" w:hAnsi="Arial" w:cs="Arial"/>
          <w:b/>
          <w:bCs/>
          <w:color w:val="131313"/>
          <w:w w:val="105"/>
        </w:rPr>
        <w:t>DATE:</w:t>
      </w:r>
      <w:r>
        <w:rPr>
          <w:rFonts w:ascii="Arial" w:hAnsi="Arial" w:cs="Arial"/>
          <w:b/>
          <w:bCs/>
          <w:color w:val="131313"/>
          <w:w w:val="105"/>
        </w:rPr>
        <w:t xml:space="preserve"> </w:t>
      </w:r>
      <w:r w:rsidRPr="00640528">
        <w:rPr>
          <w:rFonts w:ascii="Arial" w:hAnsi="Arial" w:cs="Arial"/>
          <w:bCs/>
          <w:color w:val="131313"/>
          <w:w w:val="105"/>
        </w:rPr>
        <w:t>February 10, 2020</w:t>
      </w:r>
    </w:p>
    <w:p w14:paraId="463E8F0D" w14:textId="77777777" w:rsidR="00640528" w:rsidRP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7"/>
        <w:rPr>
          <w:rFonts w:ascii="Arial" w:hAnsi="Arial" w:cs="Arial"/>
          <w:b/>
          <w:bCs/>
          <w:color w:val="131313"/>
          <w:w w:val="105"/>
        </w:rPr>
      </w:pPr>
    </w:p>
    <w:p w14:paraId="6902B00D" w14:textId="77777777" w:rsid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432" w:lineRule="auto"/>
        <w:ind w:right="79" w:firstLine="4"/>
        <w:rPr>
          <w:rFonts w:ascii="Arial" w:hAnsi="Arial" w:cs="Arial"/>
          <w:b/>
          <w:bCs/>
          <w:color w:val="313131"/>
          <w:w w:val="105"/>
        </w:rPr>
      </w:pPr>
      <w:r w:rsidRPr="00640528">
        <w:rPr>
          <w:rFonts w:ascii="Arial" w:hAnsi="Arial" w:cs="Arial"/>
          <w:b/>
          <w:bCs/>
          <w:color w:val="131313"/>
          <w:w w:val="105"/>
        </w:rPr>
        <w:t>TO</w:t>
      </w:r>
      <w:r w:rsidRPr="00640528">
        <w:rPr>
          <w:rFonts w:ascii="Arial" w:hAnsi="Arial" w:cs="Arial"/>
          <w:b/>
          <w:bCs/>
          <w:color w:val="313131"/>
          <w:w w:val="105"/>
        </w:rPr>
        <w:t xml:space="preserve">: </w:t>
      </w:r>
      <w:r w:rsidRPr="00640528">
        <w:rPr>
          <w:rFonts w:ascii="Arial" w:hAnsi="Arial" w:cs="Arial"/>
          <w:bCs/>
          <w:color w:val="313131"/>
          <w:w w:val="105"/>
        </w:rPr>
        <w:t>District Council on Human Resources</w:t>
      </w:r>
    </w:p>
    <w:p w14:paraId="2728C3C2" w14:textId="77777777" w:rsid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432" w:lineRule="auto"/>
        <w:ind w:right="79" w:firstLine="4"/>
        <w:rPr>
          <w:rFonts w:ascii="Arial" w:hAnsi="Arial" w:cs="Arial"/>
          <w:b/>
          <w:bCs/>
          <w:color w:val="131313"/>
          <w:w w:val="105"/>
        </w:rPr>
      </w:pPr>
      <w:r>
        <w:rPr>
          <w:rFonts w:ascii="Arial" w:hAnsi="Arial" w:cs="Arial"/>
          <w:b/>
          <w:bCs/>
          <w:color w:val="131313"/>
          <w:w w:val="105"/>
        </w:rPr>
        <w:t xml:space="preserve">FROM: </w:t>
      </w:r>
      <w:r w:rsidRPr="00640528">
        <w:rPr>
          <w:rFonts w:ascii="Arial" w:hAnsi="Arial" w:cs="Arial"/>
          <w:color w:val="131313"/>
          <w:w w:val="105"/>
        </w:rPr>
        <w:t xml:space="preserve">J. A. </w:t>
      </w:r>
      <w:proofErr w:type="spellStart"/>
      <w:r w:rsidRPr="00640528">
        <w:rPr>
          <w:rFonts w:ascii="Arial" w:hAnsi="Arial" w:cs="Arial"/>
          <w:color w:val="131313"/>
          <w:w w:val="105"/>
          <w:sz w:val="23"/>
          <w:szCs w:val="23"/>
        </w:rPr>
        <w:t>Dembowski</w:t>
      </w:r>
      <w:proofErr w:type="spellEnd"/>
    </w:p>
    <w:p w14:paraId="61EAA591" w14:textId="77777777" w:rsidR="00640528" w:rsidRP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412" w:lineRule="auto"/>
        <w:ind w:left="2" w:right="187" w:hanging="3"/>
        <w:rPr>
          <w:rFonts w:ascii="Arial" w:hAnsi="Arial" w:cs="Arial"/>
          <w:color w:val="131313"/>
          <w:w w:val="105"/>
          <w:sz w:val="23"/>
          <w:szCs w:val="23"/>
        </w:rPr>
      </w:pPr>
      <w:r w:rsidRPr="00640528">
        <w:rPr>
          <w:rFonts w:ascii="Arial" w:hAnsi="Arial" w:cs="Arial"/>
          <w:b/>
          <w:bCs/>
          <w:color w:val="131313"/>
          <w:w w:val="105"/>
        </w:rPr>
        <w:t>SUBJ:</w:t>
      </w:r>
      <w:r>
        <w:rPr>
          <w:rFonts w:ascii="Arial" w:hAnsi="Arial" w:cs="Arial"/>
          <w:b/>
          <w:bCs/>
          <w:color w:val="131313"/>
          <w:w w:val="105"/>
        </w:rPr>
        <w:t xml:space="preserve"> 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Proposed Amen</w:t>
      </w:r>
      <w:r>
        <w:rPr>
          <w:rFonts w:ascii="Arial" w:hAnsi="Arial" w:cs="Arial"/>
          <w:color w:val="131313"/>
          <w:w w:val="105"/>
          <w:sz w:val="23"/>
          <w:szCs w:val="23"/>
        </w:rPr>
        <w:t>dment to APs 7120-B&amp;C</w:t>
      </w:r>
    </w:p>
    <w:p w14:paraId="01DE9F72" w14:textId="77777777" w:rsidR="00640528" w:rsidRPr="00640528" w:rsidRDefault="00640528" w:rsidP="0064052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977DE1" w14:textId="77777777" w:rsidR="00640528" w:rsidRPr="00640528" w:rsidRDefault="00640528" w:rsidP="00640528">
      <w:pPr>
        <w:kinsoku w:val="0"/>
        <w:overflowPunct w:val="0"/>
        <w:autoSpaceDE w:val="0"/>
        <w:autoSpaceDN w:val="0"/>
        <w:adjustRightInd w:val="0"/>
        <w:spacing w:before="53" w:after="0" w:line="268" w:lineRule="auto"/>
        <w:ind w:left="123" w:firstLine="8"/>
        <w:rPr>
          <w:rFonts w:ascii="Arial" w:hAnsi="Arial" w:cs="Arial"/>
          <w:color w:val="131313"/>
          <w:w w:val="105"/>
          <w:sz w:val="23"/>
          <w:szCs w:val="23"/>
        </w:rPr>
      </w:pPr>
      <w:r w:rsidRPr="00640528">
        <w:rPr>
          <w:rFonts w:ascii="Arial" w:hAnsi="Arial" w:cs="Arial"/>
          <w:color w:val="131313"/>
          <w:w w:val="105"/>
          <w:sz w:val="23"/>
          <w:szCs w:val="23"/>
        </w:rPr>
        <w:t>Please be advised that the amendments proposed by the District Council on Human Resources with respect to only full-time faculty being able to serve on the screening committees for College Presidents and Academic Managers were placed before the Chancellor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>'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s Cabinet for consideration on December 18</w:t>
      </w:r>
      <w:r w:rsidRPr="00640528">
        <w:rPr>
          <w:rFonts w:ascii="Arial" w:hAnsi="Arial" w:cs="Arial"/>
          <w:color w:val="525252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2019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.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During the presentation of this issue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the almost unanimous position of the Council was forcefully advanced as was the single dissenting position (that was</w:t>
      </w:r>
      <w:r w:rsidRPr="00640528">
        <w:rPr>
          <w:rFonts w:ascii="Arial" w:hAnsi="Arial" w:cs="Arial"/>
          <w:color w:val="525252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admittedly</w:t>
      </w:r>
      <w:r w:rsidRPr="00640528">
        <w:rPr>
          <w:rFonts w:ascii="Arial" w:hAnsi="Arial" w:cs="Arial"/>
          <w:color w:val="525252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mine)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.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The Cabinet was fully apprised of the relative weight within the Council of each position.</w:t>
      </w:r>
    </w:p>
    <w:p w14:paraId="52C4F3AF" w14:textId="77777777" w:rsidR="00640528" w:rsidRPr="00640528" w:rsidRDefault="00640528" w:rsidP="00640528">
      <w:pPr>
        <w:kinsoku w:val="0"/>
        <w:overflowPunct w:val="0"/>
        <w:autoSpaceDE w:val="0"/>
        <w:autoSpaceDN w:val="0"/>
        <w:adjustRightInd w:val="0"/>
        <w:spacing w:before="173" w:after="0" w:line="271" w:lineRule="auto"/>
        <w:ind w:left="118" w:right="216" w:firstLine="9"/>
        <w:rPr>
          <w:rFonts w:ascii="Arial" w:hAnsi="Arial" w:cs="Arial"/>
          <w:color w:val="414141"/>
          <w:w w:val="105"/>
          <w:sz w:val="23"/>
          <w:szCs w:val="23"/>
        </w:rPr>
      </w:pPr>
      <w:r w:rsidRPr="00640528">
        <w:rPr>
          <w:rFonts w:ascii="Arial" w:hAnsi="Arial" w:cs="Arial"/>
          <w:color w:val="131313"/>
          <w:w w:val="105"/>
          <w:sz w:val="23"/>
          <w:szCs w:val="23"/>
        </w:rPr>
        <w:t>After what I can accurately represent to the Council was a full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due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and fair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consideration of the proposed amendments by the Cabinet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the unanimous decision was to decline each and to remain with the respective status quo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>(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s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). 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Of course</w:t>
      </w:r>
      <w:r w:rsidRPr="00640528">
        <w:rPr>
          <w:rFonts w:ascii="Arial" w:hAnsi="Arial" w:cs="Arial"/>
          <w:color w:val="525252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this means that the Academic Senate may still recommend only tenured faculty to serve on said screening committees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 xml:space="preserve">. 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However</w:t>
      </w:r>
      <w:r w:rsidRPr="00640528">
        <w:rPr>
          <w:rFonts w:ascii="Arial" w:hAnsi="Arial" w:cs="Arial"/>
          <w:color w:val="414141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the recommended membership of any particular committee may ultimately be modified, particularly with respect to diversity, within the make-up of the Committee</w:t>
      </w:r>
      <w:r w:rsidRPr="00640528">
        <w:rPr>
          <w:rFonts w:ascii="Arial" w:hAnsi="Arial" w:cs="Arial"/>
          <w:color w:val="414141"/>
          <w:w w:val="105"/>
          <w:sz w:val="23"/>
          <w:szCs w:val="23"/>
        </w:rPr>
        <w:t>.</w:t>
      </w:r>
    </w:p>
    <w:p w14:paraId="68C57456" w14:textId="77777777" w:rsidR="00640528" w:rsidRPr="00640528" w:rsidRDefault="00640528" w:rsidP="00640528">
      <w:pPr>
        <w:kinsoku w:val="0"/>
        <w:overflowPunct w:val="0"/>
        <w:autoSpaceDE w:val="0"/>
        <w:autoSpaceDN w:val="0"/>
        <w:adjustRightInd w:val="0"/>
        <w:spacing w:before="162" w:after="0" w:line="268" w:lineRule="auto"/>
        <w:ind w:left="116" w:right="391" w:firstLine="1"/>
        <w:rPr>
          <w:rFonts w:ascii="Arial" w:hAnsi="Arial" w:cs="Arial"/>
          <w:color w:val="131313"/>
          <w:w w:val="105"/>
          <w:sz w:val="23"/>
          <w:szCs w:val="23"/>
        </w:rPr>
      </w:pPr>
      <w:r w:rsidRPr="00640528">
        <w:rPr>
          <w:rFonts w:ascii="Arial" w:hAnsi="Arial" w:cs="Arial"/>
          <w:color w:val="131313"/>
          <w:w w:val="105"/>
          <w:sz w:val="23"/>
          <w:szCs w:val="23"/>
        </w:rPr>
        <w:t>Please understand that while the recommended amendments were not accepted</w:t>
      </w:r>
      <w:r w:rsidRPr="00640528">
        <w:rPr>
          <w:rFonts w:ascii="Arial" w:hAnsi="Arial" w:cs="Arial"/>
          <w:color w:val="525252"/>
          <w:w w:val="105"/>
          <w:sz w:val="23"/>
          <w:szCs w:val="23"/>
        </w:rPr>
        <w:t xml:space="preserve">,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the Council</w:t>
      </w:r>
      <w:r w:rsidRPr="00640528">
        <w:rPr>
          <w:rFonts w:ascii="Arial" w:hAnsi="Arial" w:cs="Arial"/>
          <w:color w:val="525252"/>
          <w:w w:val="105"/>
          <w:sz w:val="23"/>
          <w:szCs w:val="23"/>
        </w:rPr>
        <w:t>'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s good-faith efforts in advancing them were</w:t>
      </w:r>
      <w:r w:rsidRPr="00640528">
        <w:rPr>
          <w:rFonts w:ascii="Arial" w:hAnsi="Arial" w:cs="Arial"/>
          <w:color w:val="313131"/>
          <w:w w:val="105"/>
          <w:sz w:val="23"/>
          <w:szCs w:val="23"/>
        </w:rPr>
        <w:t>/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are deeply appreciated by the</w:t>
      </w:r>
      <w:r>
        <w:rPr>
          <w:rFonts w:ascii="Arial" w:hAnsi="Arial" w:cs="Arial"/>
          <w:color w:val="131313"/>
          <w:w w:val="105"/>
          <w:sz w:val="23"/>
          <w:szCs w:val="23"/>
        </w:rPr>
        <w:t xml:space="preserve"> </w:t>
      </w:r>
      <w:r w:rsidRPr="00640528">
        <w:rPr>
          <w:rFonts w:ascii="Arial" w:hAnsi="Arial" w:cs="Arial"/>
          <w:color w:val="131313"/>
          <w:w w:val="105"/>
          <w:sz w:val="23"/>
          <w:szCs w:val="23"/>
        </w:rPr>
        <w:t>Cabinet.</w:t>
      </w:r>
    </w:p>
    <w:p w14:paraId="7A0CF96E" w14:textId="77777777" w:rsidR="00217784" w:rsidRDefault="00217784"/>
    <w:sectPr w:rsidR="00217784" w:rsidSect="00640528">
      <w:pgSz w:w="12290" w:h="15810"/>
      <w:pgMar w:top="0" w:right="1460" w:bottom="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28"/>
    <w:rsid w:val="00217784"/>
    <w:rsid w:val="002428CF"/>
    <w:rsid w:val="0064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5CFD"/>
  <w15:chartTrackingRefBased/>
  <w15:docId w15:val="{AFBCD66E-5C34-42C0-8620-B773A5F0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B7097-1B52-42AC-A248-08993BFB3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1B4C0-BE58-4C18-AA29-E57BF2285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D9A0C-7D4C-4A88-80CB-849AC63C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Renee Butler</cp:lastModifiedBy>
  <cp:revision>2</cp:revision>
  <dcterms:created xsi:type="dcterms:W3CDTF">2020-02-14T21:01:00Z</dcterms:created>
  <dcterms:modified xsi:type="dcterms:W3CDTF">2020-02-14T21:01:00Z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