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D20E43">
                                    <w:rPr>
                                      <w:strike/>
                                      <w:sz w:val="20"/>
                                      <w:szCs w:val="20"/>
                                    </w:rPr>
                                    <w:t>8/28, 9/</w:t>
                                  </w:r>
                                  <w:r w:rsidRPr="0008180C">
                                    <w:rPr>
                                      <w:strike/>
                                      <w:sz w:val="20"/>
                                      <w:szCs w:val="20"/>
                                    </w:rPr>
                                    <w:t>25, 10/23</w:t>
                                  </w:r>
                                  <w:r w:rsidR="0008180C">
                                    <w:rPr>
                                      <w:sz w:val="20"/>
                                      <w:szCs w:val="20"/>
                                    </w:rPr>
                                    <w:t>, 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sidRPr="00D20E43">
                              <w:rPr>
                                <w:strike/>
                                <w:sz w:val="20"/>
                                <w:szCs w:val="20"/>
                              </w:rPr>
                              <w:t>8/28, 9/</w:t>
                            </w:r>
                            <w:r w:rsidRPr="0008180C">
                              <w:rPr>
                                <w:strike/>
                                <w:sz w:val="20"/>
                                <w:szCs w:val="20"/>
                              </w:rPr>
                              <w:t>25, 10/23</w:t>
                            </w:r>
                            <w:r w:rsidR="0008180C">
                              <w:rPr>
                                <w:sz w:val="20"/>
                                <w:szCs w:val="20"/>
                              </w:rPr>
                              <w:t>, 11/20</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08180C" w:rsidP="00F66443">
      <w:pPr>
        <w:spacing w:after="0" w:line="240" w:lineRule="auto"/>
        <w:jc w:val="center"/>
        <w:rPr>
          <w:rFonts w:eastAsia="Times New Roman" w:cs="Times New Roman"/>
          <w:b/>
          <w:szCs w:val="24"/>
        </w:rPr>
      </w:pPr>
      <w:r>
        <w:rPr>
          <w:rFonts w:eastAsia="Times New Roman" w:cs="Times New Roman"/>
          <w:b/>
          <w:szCs w:val="24"/>
        </w:rPr>
        <w:t>November 20</w:t>
      </w:r>
      <w:r w:rsidR="00D20E43">
        <w:rPr>
          <w:rFonts w:eastAsia="Times New Roman" w:cs="Times New Roman"/>
          <w:b/>
          <w:szCs w:val="24"/>
        </w:rPr>
        <w:t>,</w:t>
      </w:r>
      <w:r w:rsidR="003D26DA">
        <w:rPr>
          <w:rFonts w:eastAsia="Times New Roman" w:cs="Times New Roman"/>
          <w:b/>
          <w:szCs w:val="24"/>
        </w:rPr>
        <w:t xml:space="preserve">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6C72BF"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338" w:type="dxa"/>
        <w:tblLook w:val="04A0" w:firstRow="1" w:lastRow="0" w:firstColumn="1" w:lastColumn="0" w:noHBand="0" w:noVBand="1"/>
      </w:tblPr>
      <w:tblGrid>
        <w:gridCol w:w="1615"/>
        <w:gridCol w:w="2250"/>
        <w:gridCol w:w="563"/>
        <w:gridCol w:w="3150"/>
        <w:gridCol w:w="2160"/>
        <w:gridCol w:w="810"/>
        <w:gridCol w:w="2790"/>
      </w:tblGrid>
      <w:tr w:rsidR="006B3D2C" w:rsidRPr="00AE0707" w:rsidTr="000A69E4">
        <w:tc>
          <w:tcPr>
            <w:tcW w:w="1615" w:type="dxa"/>
          </w:tcPr>
          <w:p w:rsidR="006B3D2C" w:rsidRPr="00AE0707" w:rsidRDefault="006B3D2C" w:rsidP="00C40AD2">
            <w:pPr>
              <w:jc w:val="center"/>
              <w:rPr>
                <w:sz w:val="20"/>
                <w:szCs w:val="20"/>
              </w:rPr>
            </w:pPr>
          </w:p>
        </w:tc>
        <w:tc>
          <w:tcPr>
            <w:tcW w:w="2250" w:type="dxa"/>
          </w:tcPr>
          <w:p w:rsidR="006B3D2C" w:rsidRPr="00AE0707" w:rsidRDefault="006B3D2C" w:rsidP="007366F0">
            <w:pPr>
              <w:rPr>
                <w:b/>
                <w:sz w:val="20"/>
                <w:szCs w:val="20"/>
              </w:rPr>
            </w:pPr>
            <w:r w:rsidRPr="00AE0707">
              <w:rPr>
                <w:b/>
                <w:sz w:val="20"/>
                <w:szCs w:val="20"/>
              </w:rPr>
              <w:t>Representative</w:t>
            </w:r>
          </w:p>
        </w:tc>
        <w:tc>
          <w:tcPr>
            <w:tcW w:w="563" w:type="dxa"/>
          </w:tcPr>
          <w:p w:rsidR="006B3D2C" w:rsidRPr="00AE0707" w:rsidRDefault="006B3D2C" w:rsidP="007366F0">
            <w:pPr>
              <w:rPr>
                <w:b/>
                <w:sz w:val="20"/>
                <w:szCs w:val="20"/>
              </w:rPr>
            </w:pPr>
          </w:p>
        </w:tc>
        <w:tc>
          <w:tcPr>
            <w:tcW w:w="3150" w:type="dxa"/>
          </w:tcPr>
          <w:p w:rsidR="006B3D2C" w:rsidRPr="00AE0707" w:rsidRDefault="006B3D2C" w:rsidP="007366F0">
            <w:pPr>
              <w:rPr>
                <w:b/>
                <w:sz w:val="20"/>
                <w:szCs w:val="20"/>
              </w:rPr>
            </w:pPr>
            <w:r w:rsidRPr="00AE0707">
              <w:rPr>
                <w:b/>
                <w:sz w:val="20"/>
                <w:szCs w:val="20"/>
              </w:rPr>
              <w:t>Division</w:t>
            </w:r>
          </w:p>
        </w:tc>
        <w:tc>
          <w:tcPr>
            <w:tcW w:w="2160" w:type="dxa"/>
          </w:tcPr>
          <w:p w:rsidR="006B3D2C" w:rsidRPr="00AE0707" w:rsidRDefault="006B3D2C" w:rsidP="007366F0">
            <w:pPr>
              <w:rPr>
                <w:b/>
                <w:sz w:val="20"/>
                <w:szCs w:val="20"/>
              </w:rPr>
            </w:pPr>
            <w:r w:rsidRPr="00AE0707">
              <w:rPr>
                <w:b/>
                <w:sz w:val="20"/>
                <w:szCs w:val="20"/>
              </w:rPr>
              <w:t>Representative</w:t>
            </w:r>
          </w:p>
        </w:tc>
        <w:tc>
          <w:tcPr>
            <w:tcW w:w="810" w:type="dxa"/>
          </w:tcPr>
          <w:p w:rsidR="006B3D2C" w:rsidRPr="00AE0707" w:rsidRDefault="006B3D2C" w:rsidP="007366F0">
            <w:pPr>
              <w:rPr>
                <w:b/>
                <w:sz w:val="20"/>
                <w:szCs w:val="20"/>
              </w:rPr>
            </w:pPr>
          </w:p>
        </w:tc>
        <w:tc>
          <w:tcPr>
            <w:tcW w:w="2790" w:type="dxa"/>
          </w:tcPr>
          <w:p w:rsidR="006B3D2C" w:rsidRPr="00AE0707" w:rsidRDefault="006B3D2C" w:rsidP="007366F0">
            <w:pPr>
              <w:rPr>
                <w:b/>
                <w:sz w:val="20"/>
                <w:szCs w:val="20"/>
              </w:rPr>
            </w:pPr>
            <w:r w:rsidRPr="00AE0707">
              <w:rPr>
                <w:b/>
                <w:sz w:val="20"/>
                <w:szCs w:val="20"/>
              </w:rPr>
              <w:t>Guests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Co-Chairs</w:t>
            </w:r>
          </w:p>
        </w:tc>
        <w:tc>
          <w:tcPr>
            <w:tcW w:w="2250" w:type="dxa"/>
          </w:tcPr>
          <w:p w:rsidR="006B3D2C" w:rsidRPr="00AE0707" w:rsidRDefault="006B3D2C" w:rsidP="007366F0">
            <w:pPr>
              <w:rPr>
                <w:sz w:val="20"/>
                <w:szCs w:val="20"/>
              </w:rPr>
            </w:pPr>
            <w:r w:rsidRPr="00AE0707">
              <w:rPr>
                <w:sz w:val="20"/>
                <w:szCs w:val="20"/>
              </w:rPr>
              <w:t>Amanuel Gebru</w:t>
            </w:r>
          </w:p>
        </w:tc>
        <w:tc>
          <w:tcPr>
            <w:tcW w:w="563" w:type="dxa"/>
          </w:tcPr>
          <w:p w:rsidR="006B3D2C" w:rsidRPr="006C72BF" w:rsidRDefault="006C72BF" w:rsidP="007366F0">
            <w:pPr>
              <w:rPr>
                <w:b/>
                <w:sz w:val="20"/>
                <w:szCs w:val="20"/>
              </w:rPr>
            </w:pPr>
            <w:r w:rsidRPr="006C72BF">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English, Library &amp; Student Life</w:t>
            </w:r>
          </w:p>
        </w:tc>
        <w:tc>
          <w:tcPr>
            <w:tcW w:w="2160" w:type="dxa"/>
          </w:tcPr>
          <w:p w:rsidR="006B3D2C" w:rsidRPr="00AE0707" w:rsidRDefault="00082E00" w:rsidP="007366F0">
            <w:pPr>
              <w:rPr>
                <w:sz w:val="20"/>
                <w:szCs w:val="20"/>
              </w:rPr>
            </w:pPr>
            <w:r>
              <w:rPr>
                <w:sz w:val="20"/>
                <w:szCs w:val="20"/>
              </w:rPr>
              <w:t>Beth Gillis-Smith</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DE7188" w:rsidP="007366F0">
            <w:pPr>
              <w:rPr>
                <w:sz w:val="20"/>
                <w:szCs w:val="20"/>
              </w:rPr>
            </w:pPr>
            <w:r>
              <w:rPr>
                <w:sz w:val="20"/>
                <w:szCs w:val="20"/>
              </w:rPr>
              <w:t>Brian Burns</w:t>
            </w: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Trulie Thompson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Tracy Tennenhouse</w:t>
            </w:r>
          </w:p>
        </w:tc>
        <w:tc>
          <w:tcPr>
            <w:tcW w:w="810" w:type="dxa"/>
          </w:tcPr>
          <w:p w:rsidR="006B3D2C" w:rsidRPr="00AE0707" w:rsidRDefault="006B3D2C" w:rsidP="007366F0">
            <w:pPr>
              <w:rPr>
                <w:sz w:val="20"/>
                <w:szCs w:val="20"/>
              </w:rPr>
            </w:pPr>
          </w:p>
        </w:tc>
        <w:tc>
          <w:tcPr>
            <w:tcW w:w="2790" w:type="dxa"/>
          </w:tcPr>
          <w:p w:rsidR="006B3D2C" w:rsidRPr="00AE0707" w:rsidRDefault="00DE7188" w:rsidP="007366F0">
            <w:pPr>
              <w:rPr>
                <w:sz w:val="20"/>
                <w:szCs w:val="20"/>
              </w:rPr>
            </w:pPr>
            <w:r>
              <w:rPr>
                <w:sz w:val="20"/>
                <w:szCs w:val="20"/>
              </w:rPr>
              <w:t>Jessica Hasson</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Deans</w:t>
            </w:r>
          </w:p>
        </w:tc>
        <w:tc>
          <w:tcPr>
            <w:tcW w:w="2250" w:type="dxa"/>
          </w:tcPr>
          <w:p w:rsidR="006B3D2C" w:rsidRPr="00AE0707" w:rsidRDefault="006B3D2C" w:rsidP="007366F0">
            <w:pPr>
              <w:rPr>
                <w:sz w:val="20"/>
                <w:szCs w:val="20"/>
              </w:rPr>
            </w:pPr>
            <w:r w:rsidRPr="00AE0707">
              <w:rPr>
                <w:sz w:val="20"/>
                <w:szCs w:val="20"/>
              </w:rPr>
              <w:t>Khushnur</w:t>
            </w:r>
            <w:r w:rsidR="00082E00">
              <w:rPr>
                <w:sz w:val="20"/>
                <w:szCs w:val="20"/>
              </w:rPr>
              <w:t xml:space="preserve"> Dadabhoy</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ACCESS, Kinesiology, Athletics, Math, DE &amp; Teaching and Learning</w:t>
            </w:r>
          </w:p>
        </w:tc>
        <w:tc>
          <w:tcPr>
            <w:tcW w:w="2160" w:type="dxa"/>
          </w:tcPr>
          <w:p w:rsidR="006B3D2C" w:rsidRPr="00AE0707" w:rsidRDefault="00082E00" w:rsidP="007366F0">
            <w:pPr>
              <w:rPr>
                <w:sz w:val="20"/>
                <w:szCs w:val="20"/>
              </w:rPr>
            </w:pPr>
            <w:r>
              <w:rPr>
                <w:sz w:val="20"/>
                <w:szCs w:val="20"/>
              </w:rPr>
              <w:t>Vance Manakas</w:t>
            </w:r>
          </w:p>
        </w:tc>
        <w:tc>
          <w:tcPr>
            <w:tcW w:w="810" w:type="dxa"/>
          </w:tcPr>
          <w:p w:rsidR="006B3D2C" w:rsidRPr="00AE0707" w:rsidRDefault="00DE7188" w:rsidP="007366F0">
            <w:pPr>
              <w:rPr>
                <w:sz w:val="20"/>
                <w:szCs w:val="20"/>
              </w:rPr>
            </w:pPr>
            <w:r>
              <w:rPr>
                <w:sz w:val="20"/>
                <w:szCs w:val="20"/>
              </w:rPr>
              <w:t>X</w:t>
            </w:r>
          </w:p>
        </w:tc>
        <w:tc>
          <w:tcPr>
            <w:tcW w:w="2790" w:type="dxa"/>
          </w:tcPr>
          <w:p w:rsidR="006C72BF" w:rsidRPr="00AE0707" w:rsidRDefault="006C72BF"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Matt</w:t>
            </w:r>
            <w:r w:rsidR="00082E00">
              <w:rPr>
                <w:sz w:val="20"/>
                <w:szCs w:val="20"/>
              </w:rPr>
              <w:t xml:space="preserve"> Calfin</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Default="00082E00" w:rsidP="007366F0">
            <w:pPr>
              <w:rPr>
                <w:sz w:val="20"/>
                <w:szCs w:val="20"/>
              </w:rPr>
            </w:pPr>
            <w:r>
              <w:rPr>
                <w:sz w:val="20"/>
                <w:szCs w:val="20"/>
              </w:rPr>
              <w:t xml:space="preserve">Rena </w:t>
            </w:r>
            <w:proofErr w:type="spellStart"/>
            <w:r>
              <w:rPr>
                <w:sz w:val="20"/>
                <w:szCs w:val="20"/>
              </w:rPr>
              <w:t>Petrello</w:t>
            </w:r>
            <w:proofErr w:type="spellEnd"/>
          </w:p>
          <w:p w:rsidR="00FE08B5" w:rsidRPr="00AE0707" w:rsidRDefault="00FE08B5" w:rsidP="007366F0">
            <w:pPr>
              <w:rPr>
                <w:sz w:val="20"/>
                <w:szCs w:val="20"/>
              </w:rPr>
            </w:pPr>
            <w:r>
              <w:rPr>
                <w:sz w:val="20"/>
                <w:szCs w:val="20"/>
              </w:rPr>
              <w:t xml:space="preserve">Kevin </w:t>
            </w:r>
            <w:proofErr w:type="spellStart"/>
            <w:r>
              <w:rPr>
                <w:sz w:val="20"/>
                <w:szCs w:val="20"/>
              </w:rPr>
              <w:t>Balas</w:t>
            </w:r>
            <w:proofErr w:type="spellEnd"/>
            <w:r>
              <w:rPr>
                <w:sz w:val="20"/>
                <w:szCs w:val="20"/>
              </w:rPr>
              <w:t xml:space="preserve"> (ALT)</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Sam</w:t>
            </w:r>
            <w:r w:rsidR="00082E00">
              <w:rPr>
                <w:sz w:val="20"/>
                <w:szCs w:val="20"/>
              </w:rPr>
              <w:t xml:space="preserve"> Lingrosso</w:t>
            </w:r>
          </w:p>
        </w:tc>
        <w:tc>
          <w:tcPr>
            <w:tcW w:w="563" w:type="dxa"/>
          </w:tcPr>
          <w:p w:rsidR="006B3D2C" w:rsidRPr="00D20E43" w:rsidRDefault="006B3D2C" w:rsidP="007366F0">
            <w:pPr>
              <w:rPr>
                <w:b/>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Business, Social &amp; Behavioral Sciences, Child Development &amp; Languages</w:t>
            </w:r>
          </w:p>
        </w:tc>
        <w:tc>
          <w:tcPr>
            <w:tcW w:w="2160" w:type="dxa"/>
          </w:tcPr>
          <w:p w:rsidR="006B3D2C" w:rsidRPr="00AE0707" w:rsidRDefault="00082E00" w:rsidP="007366F0">
            <w:pPr>
              <w:rPr>
                <w:sz w:val="20"/>
                <w:szCs w:val="20"/>
              </w:rPr>
            </w:pPr>
            <w:r>
              <w:rPr>
                <w:sz w:val="20"/>
                <w:szCs w:val="20"/>
              </w:rPr>
              <w:t>Cynthia Sheaks-McGowan</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0A69E4" w:rsidRPr="00AE0707" w:rsidTr="000A69E4">
        <w:tc>
          <w:tcPr>
            <w:tcW w:w="1615" w:type="dxa"/>
          </w:tcPr>
          <w:p w:rsidR="000A69E4" w:rsidRPr="00AE0707" w:rsidRDefault="000A69E4" w:rsidP="006B3D2C">
            <w:pPr>
              <w:jc w:val="center"/>
              <w:rPr>
                <w:b/>
                <w:sz w:val="20"/>
                <w:szCs w:val="20"/>
              </w:rPr>
            </w:pPr>
            <w:r>
              <w:rPr>
                <w:b/>
                <w:sz w:val="20"/>
                <w:szCs w:val="20"/>
              </w:rPr>
              <w:t>Student Services</w:t>
            </w:r>
          </w:p>
        </w:tc>
        <w:tc>
          <w:tcPr>
            <w:tcW w:w="2250" w:type="dxa"/>
          </w:tcPr>
          <w:p w:rsidR="000A69E4" w:rsidRPr="00AE0707" w:rsidRDefault="000A69E4" w:rsidP="007366F0">
            <w:pPr>
              <w:rPr>
                <w:sz w:val="20"/>
                <w:szCs w:val="20"/>
              </w:rPr>
            </w:pPr>
            <w:r>
              <w:rPr>
                <w:sz w:val="20"/>
                <w:szCs w:val="20"/>
              </w:rPr>
              <w:t>Dave Anter</w:t>
            </w:r>
          </w:p>
        </w:tc>
        <w:tc>
          <w:tcPr>
            <w:tcW w:w="563" w:type="dxa"/>
          </w:tcPr>
          <w:p w:rsidR="000A69E4" w:rsidRPr="00AE0707" w:rsidRDefault="00DE7188" w:rsidP="007366F0">
            <w:pPr>
              <w:rPr>
                <w:sz w:val="20"/>
                <w:szCs w:val="20"/>
              </w:rPr>
            </w:pPr>
            <w:r>
              <w:rPr>
                <w:sz w:val="20"/>
                <w:szCs w:val="20"/>
              </w:rPr>
              <w:t>X</w:t>
            </w:r>
          </w:p>
        </w:tc>
        <w:tc>
          <w:tcPr>
            <w:tcW w:w="3150" w:type="dxa"/>
          </w:tcPr>
          <w:p w:rsidR="000A69E4" w:rsidRPr="00CB5662" w:rsidRDefault="000A69E4" w:rsidP="007366F0">
            <w:pPr>
              <w:rPr>
                <w:rFonts w:eastAsia="Times New Roman" w:cs="Times New Roman"/>
                <w:b/>
                <w:sz w:val="18"/>
                <w:szCs w:val="18"/>
              </w:rPr>
            </w:pPr>
          </w:p>
        </w:tc>
        <w:tc>
          <w:tcPr>
            <w:tcW w:w="2160" w:type="dxa"/>
          </w:tcPr>
          <w:p w:rsidR="000A69E4" w:rsidRPr="00AE0707" w:rsidRDefault="000A69E4" w:rsidP="007366F0">
            <w:pPr>
              <w:rPr>
                <w:sz w:val="20"/>
                <w:szCs w:val="20"/>
              </w:rPr>
            </w:pPr>
            <w:r>
              <w:rPr>
                <w:sz w:val="20"/>
                <w:szCs w:val="20"/>
              </w:rPr>
              <w:t>Timothy Lumas</w:t>
            </w:r>
          </w:p>
        </w:tc>
        <w:tc>
          <w:tcPr>
            <w:tcW w:w="810" w:type="dxa"/>
          </w:tcPr>
          <w:p w:rsidR="000A69E4" w:rsidRPr="00AE0707" w:rsidRDefault="000A69E4" w:rsidP="007366F0">
            <w:pPr>
              <w:rPr>
                <w:sz w:val="20"/>
                <w:szCs w:val="20"/>
              </w:rPr>
            </w:pPr>
          </w:p>
        </w:tc>
        <w:tc>
          <w:tcPr>
            <w:tcW w:w="2790" w:type="dxa"/>
          </w:tcPr>
          <w:p w:rsidR="000A69E4" w:rsidRPr="00AE0707" w:rsidRDefault="000A69E4"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6C72BF" w:rsidP="007366F0">
            <w:pPr>
              <w:rPr>
                <w:sz w:val="20"/>
                <w:szCs w:val="20"/>
              </w:rPr>
            </w:pPr>
            <w:r w:rsidRPr="006C72BF">
              <w:rPr>
                <w:sz w:val="20"/>
                <w:szCs w:val="20"/>
              </w:rPr>
              <w:t>Johnny Conley</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Institutional Effectiven</w:t>
            </w:r>
            <w:r>
              <w:rPr>
                <w:rFonts w:eastAsia="Times New Roman" w:cs="Times New Roman"/>
                <w:b/>
                <w:sz w:val="18"/>
                <w:szCs w:val="18"/>
              </w:rPr>
              <w:t>e</w:t>
            </w:r>
            <w:r w:rsidRPr="00CB5662">
              <w:rPr>
                <w:rFonts w:eastAsia="Times New Roman" w:cs="Times New Roman"/>
                <w:b/>
                <w:sz w:val="18"/>
                <w:szCs w:val="18"/>
              </w:rPr>
              <w:t>ss &amp; Planning, Grants and PACE</w:t>
            </w:r>
          </w:p>
        </w:tc>
        <w:tc>
          <w:tcPr>
            <w:tcW w:w="2160" w:type="dxa"/>
          </w:tcPr>
          <w:p w:rsidR="006B3D2C" w:rsidRPr="00AE0707" w:rsidRDefault="0066603C" w:rsidP="007366F0">
            <w:pPr>
              <w:rPr>
                <w:sz w:val="20"/>
                <w:szCs w:val="20"/>
              </w:rPr>
            </w:pPr>
            <w:r>
              <w:rPr>
                <w:sz w:val="20"/>
                <w:szCs w:val="20"/>
              </w:rPr>
              <w:t>Rocio Avina Cervantes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4E0AE4" w:rsidP="006C72BF">
            <w:pPr>
              <w:rPr>
                <w:sz w:val="20"/>
                <w:szCs w:val="20"/>
              </w:rPr>
            </w:pPr>
            <w:r w:rsidRPr="006C72BF">
              <w:rPr>
                <w:sz w:val="20"/>
                <w:szCs w:val="20"/>
              </w:rPr>
              <w:t xml:space="preserve"> </w:t>
            </w:r>
            <w:r w:rsidR="006C72BF" w:rsidRPr="006C72BF">
              <w:rPr>
                <w:sz w:val="20"/>
                <w:szCs w:val="20"/>
              </w:rPr>
              <w:t>Kristen Robinson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Arts, Media, C</w:t>
            </w:r>
            <w:r>
              <w:rPr>
                <w:rFonts w:eastAsia="Times New Roman" w:cs="Times New Roman"/>
                <w:b/>
                <w:sz w:val="18"/>
                <w:szCs w:val="18"/>
              </w:rPr>
              <w:t>ommunication Studies</w:t>
            </w:r>
          </w:p>
        </w:tc>
        <w:tc>
          <w:tcPr>
            <w:tcW w:w="2160" w:type="dxa"/>
          </w:tcPr>
          <w:p w:rsidR="006B3D2C" w:rsidRPr="00AE0707" w:rsidRDefault="00E40538" w:rsidP="007366F0">
            <w:pPr>
              <w:rPr>
                <w:sz w:val="20"/>
                <w:szCs w:val="20"/>
              </w:rPr>
            </w:pPr>
            <w:r>
              <w:rPr>
                <w:sz w:val="20"/>
                <w:szCs w:val="20"/>
              </w:rPr>
              <w:t>Beth Meg</w:t>
            </w:r>
            <w:r w:rsidR="00082E00">
              <w:rPr>
                <w:sz w:val="20"/>
                <w:szCs w:val="20"/>
              </w:rPr>
              <w:t>ill</w:t>
            </w:r>
          </w:p>
        </w:tc>
        <w:tc>
          <w:tcPr>
            <w:tcW w:w="810" w:type="dxa"/>
          </w:tcPr>
          <w:p w:rsidR="006B3D2C" w:rsidRPr="00D20E43" w:rsidRDefault="006B3D2C" w:rsidP="007366F0">
            <w:pPr>
              <w:rPr>
                <w:b/>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082E00" w:rsidP="007366F0">
            <w:pPr>
              <w:rPr>
                <w:sz w:val="20"/>
                <w:szCs w:val="20"/>
              </w:rPr>
            </w:pPr>
            <w:r>
              <w:rPr>
                <w:sz w:val="20"/>
                <w:szCs w:val="20"/>
              </w:rPr>
              <w:t>Claudia Sitlington</w:t>
            </w:r>
          </w:p>
        </w:tc>
        <w:tc>
          <w:tcPr>
            <w:tcW w:w="563" w:type="dxa"/>
          </w:tcPr>
          <w:p w:rsidR="006B3D2C" w:rsidRPr="00AE0707" w:rsidRDefault="00DE7188" w:rsidP="007366F0">
            <w:pPr>
              <w:rPr>
                <w:sz w:val="20"/>
                <w:szCs w:val="20"/>
              </w:rPr>
            </w:pPr>
            <w:r>
              <w:rPr>
                <w:sz w:val="20"/>
                <w:szCs w:val="20"/>
              </w:rPr>
              <w:t>X</w:t>
            </w: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Jill McCall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0A69E4" w:rsidP="006B3D2C">
            <w:pPr>
              <w:jc w:val="center"/>
              <w:rPr>
                <w:b/>
                <w:sz w:val="20"/>
                <w:szCs w:val="20"/>
              </w:rPr>
            </w:pPr>
            <w:r>
              <w:rPr>
                <w:b/>
                <w:sz w:val="20"/>
                <w:szCs w:val="20"/>
              </w:rPr>
              <w:t>AS</w:t>
            </w:r>
            <w:r w:rsidR="006B3D2C" w:rsidRPr="00AE0707">
              <w:rPr>
                <w:b/>
                <w:sz w:val="20"/>
                <w:szCs w:val="20"/>
              </w:rPr>
              <w:t xml:space="preserve"> President</w:t>
            </w:r>
          </w:p>
        </w:tc>
        <w:tc>
          <w:tcPr>
            <w:tcW w:w="2250" w:type="dxa"/>
          </w:tcPr>
          <w:p w:rsidR="006B3D2C" w:rsidRPr="00AE0707" w:rsidRDefault="00082E00" w:rsidP="007366F0">
            <w:pPr>
              <w:rPr>
                <w:sz w:val="20"/>
                <w:szCs w:val="20"/>
              </w:rPr>
            </w:pPr>
            <w:r>
              <w:rPr>
                <w:sz w:val="20"/>
                <w:szCs w:val="20"/>
              </w:rPr>
              <w:t xml:space="preserve"> Nenagh Brown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A&amp;R, Counseling, Student Life and Support, EOPS &amp; Student Health Ctr</w:t>
            </w:r>
          </w:p>
        </w:tc>
        <w:tc>
          <w:tcPr>
            <w:tcW w:w="2160" w:type="dxa"/>
          </w:tcPr>
          <w:p w:rsidR="0024022D" w:rsidRPr="00AE0707" w:rsidRDefault="0024022D" w:rsidP="007366F0">
            <w:pPr>
              <w:rPr>
                <w:sz w:val="20"/>
                <w:szCs w:val="20"/>
              </w:rPr>
            </w:pPr>
            <w:r>
              <w:rPr>
                <w:sz w:val="20"/>
                <w:szCs w:val="20"/>
              </w:rPr>
              <w:t>Sharon Manakas</w:t>
            </w:r>
          </w:p>
        </w:tc>
        <w:tc>
          <w:tcPr>
            <w:tcW w:w="810" w:type="dxa"/>
          </w:tcPr>
          <w:p w:rsidR="006B3D2C" w:rsidRPr="00D20E43" w:rsidRDefault="00D20E43" w:rsidP="007366F0">
            <w:pPr>
              <w:rPr>
                <w:b/>
                <w:sz w:val="20"/>
                <w:szCs w:val="20"/>
              </w:rPr>
            </w:pPr>
            <w:r w:rsidRPr="00D20E43">
              <w:rPr>
                <w:b/>
                <w:sz w:val="20"/>
                <w:szCs w:val="20"/>
              </w:rPr>
              <w:t>X</w:t>
            </w: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Default="00DD66E2" w:rsidP="006B3D2C">
            <w:pPr>
              <w:jc w:val="center"/>
              <w:rPr>
                <w:b/>
                <w:sz w:val="20"/>
                <w:szCs w:val="20"/>
              </w:rPr>
            </w:pPr>
            <w:r w:rsidRPr="00AE0707">
              <w:rPr>
                <w:b/>
                <w:sz w:val="20"/>
                <w:szCs w:val="20"/>
              </w:rPr>
              <w:t>Student Rep</w:t>
            </w:r>
          </w:p>
        </w:tc>
        <w:tc>
          <w:tcPr>
            <w:tcW w:w="2250" w:type="dxa"/>
          </w:tcPr>
          <w:p w:rsidR="00DD66E2" w:rsidRDefault="00FE08B5" w:rsidP="007366F0">
            <w:pPr>
              <w:rPr>
                <w:sz w:val="20"/>
                <w:szCs w:val="20"/>
              </w:rPr>
            </w:pPr>
            <w:r>
              <w:rPr>
                <w:sz w:val="20"/>
                <w:szCs w:val="20"/>
              </w:rPr>
              <w:t>Jennifer Pezzuto</w:t>
            </w:r>
          </w:p>
        </w:tc>
        <w:tc>
          <w:tcPr>
            <w:tcW w:w="563" w:type="dxa"/>
          </w:tcPr>
          <w:p w:rsidR="00DD66E2" w:rsidRPr="00AE0707" w:rsidRDefault="00DD66E2" w:rsidP="007366F0">
            <w:pPr>
              <w:rPr>
                <w:sz w:val="20"/>
                <w:szCs w:val="20"/>
              </w:rPr>
            </w:pPr>
          </w:p>
        </w:tc>
        <w:tc>
          <w:tcPr>
            <w:tcW w:w="3150" w:type="dxa"/>
          </w:tcPr>
          <w:p w:rsidR="00DD66E2" w:rsidRPr="00CB5662" w:rsidRDefault="00DD66E2" w:rsidP="007366F0">
            <w:pPr>
              <w:rPr>
                <w:rFonts w:eastAsia="Times New Roman" w:cs="Times New Roman"/>
                <w:b/>
                <w:sz w:val="18"/>
                <w:szCs w:val="18"/>
              </w:rPr>
            </w:pPr>
          </w:p>
        </w:tc>
        <w:tc>
          <w:tcPr>
            <w:tcW w:w="2160" w:type="dxa"/>
          </w:tcPr>
          <w:p w:rsidR="00DD66E2" w:rsidRDefault="0024022D" w:rsidP="007366F0">
            <w:pPr>
              <w:rPr>
                <w:sz w:val="20"/>
                <w:szCs w:val="20"/>
              </w:rPr>
            </w:pPr>
            <w:r>
              <w:rPr>
                <w:sz w:val="20"/>
                <w:szCs w:val="20"/>
              </w:rPr>
              <w:t>Pam Kennedy-Luna</w:t>
            </w:r>
          </w:p>
        </w:tc>
        <w:tc>
          <w:tcPr>
            <w:tcW w:w="810" w:type="dxa"/>
          </w:tcPr>
          <w:p w:rsidR="00DD66E2" w:rsidRPr="00D20E43" w:rsidRDefault="00D20E43" w:rsidP="007366F0">
            <w:pPr>
              <w:rPr>
                <w:b/>
                <w:sz w:val="20"/>
                <w:szCs w:val="20"/>
              </w:rPr>
            </w:pPr>
            <w:r w:rsidRPr="00D20E43">
              <w:rPr>
                <w:b/>
                <w:sz w:val="20"/>
                <w:szCs w:val="20"/>
              </w:rPr>
              <w:t>X</w:t>
            </w: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DE7188" w:rsidP="006B3D2C">
            <w:pPr>
              <w:jc w:val="center"/>
              <w:rPr>
                <w:b/>
                <w:sz w:val="20"/>
                <w:szCs w:val="20"/>
              </w:rPr>
            </w:pPr>
            <w:r>
              <w:rPr>
                <w:b/>
                <w:sz w:val="20"/>
                <w:szCs w:val="20"/>
              </w:rPr>
              <w:t>Financial Aid</w:t>
            </w:r>
          </w:p>
        </w:tc>
        <w:tc>
          <w:tcPr>
            <w:tcW w:w="2250" w:type="dxa"/>
          </w:tcPr>
          <w:p w:rsidR="006B3D2C" w:rsidRPr="00AE0707" w:rsidRDefault="00DE7188" w:rsidP="007366F0">
            <w:pPr>
              <w:rPr>
                <w:sz w:val="20"/>
                <w:szCs w:val="20"/>
              </w:rPr>
            </w:pPr>
            <w:r>
              <w:rPr>
                <w:sz w:val="20"/>
                <w:szCs w:val="20"/>
              </w:rPr>
              <w:t>Kim Korinke</w:t>
            </w:r>
          </w:p>
        </w:tc>
        <w:tc>
          <w:tcPr>
            <w:tcW w:w="563" w:type="dxa"/>
          </w:tcPr>
          <w:p w:rsidR="006B3D2C" w:rsidRPr="00AE0707" w:rsidRDefault="00DE7188" w:rsidP="007366F0">
            <w:pPr>
              <w:rPr>
                <w:sz w:val="20"/>
                <w:szCs w:val="20"/>
              </w:rPr>
            </w:pPr>
            <w:r>
              <w:rPr>
                <w:sz w:val="20"/>
                <w:szCs w:val="20"/>
              </w:rPr>
              <w:t>X</w:t>
            </w:r>
          </w:p>
        </w:tc>
        <w:tc>
          <w:tcPr>
            <w:tcW w:w="3150" w:type="dxa"/>
          </w:tcPr>
          <w:p w:rsidR="006B3D2C" w:rsidRPr="00DD66E2" w:rsidRDefault="00DD66E2" w:rsidP="007366F0">
            <w:pPr>
              <w:rPr>
                <w:b/>
                <w:sz w:val="20"/>
                <w:szCs w:val="20"/>
              </w:rPr>
            </w:pPr>
            <w:r w:rsidRPr="00DD66E2">
              <w:rPr>
                <w:b/>
                <w:sz w:val="20"/>
                <w:szCs w:val="20"/>
              </w:rPr>
              <w:t>EATM, Life &amp; Health Sciences</w:t>
            </w:r>
          </w:p>
        </w:tc>
        <w:tc>
          <w:tcPr>
            <w:tcW w:w="2160" w:type="dxa"/>
          </w:tcPr>
          <w:p w:rsidR="006B3D2C" w:rsidRPr="00AE0707" w:rsidRDefault="00DD66E2" w:rsidP="007366F0">
            <w:pPr>
              <w:rPr>
                <w:sz w:val="20"/>
                <w:szCs w:val="20"/>
              </w:rPr>
            </w:pPr>
            <w:r>
              <w:rPr>
                <w:sz w:val="20"/>
                <w:szCs w:val="20"/>
              </w:rPr>
              <w:t>Jen</w:t>
            </w:r>
            <w:r w:rsidR="000E375F">
              <w:rPr>
                <w:sz w:val="20"/>
                <w:szCs w:val="20"/>
              </w:rPr>
              <w:t>y</w:t>
            </w:r>
            <w:r>
              <w:rPr>
                <w:sz w:val="20"/>
                <w:szCs w:val="20"/>
              </w:rPr>
              <w:t xml:space="preserve"> Joy</w:t>
            </w:r>
          </w:p>
        </w:tc>
        <w:tc>
          <w:tcPr>
            <w:tcW w:w="810" w:type="dxa"/>
          </w:tcPr>
          <w:p w:rsidR="006B3D2C" w:rsidRPr="00AE0707" w:rsidRDefault="003C0038" w:rsidP="007366F0">
            <w:pPr>
              <w:rPr>
                <w:sz w:val="20"/>
                <w:szCs w:val="20"/>
              </w:rPr>
            </w:pPr>
            <w:r>
              <w:rPr>
                <w:sz w:val="20"/>
                <w:szCs w:val="20"/>
              </w:rPr>
              <w:t>X</w:t>
            </w: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Pr="00AE0707" w:rsidRDefault="00DD66E2" w:rsidP="006B3D2C">
            <w:pPr>
              <w:jc w:val="center"/>
              <w:rPr>
                <w:b/>
                <w:sz w:val="20"/>
                <w:szCs w:val="20"/>
              </w:rPr>
            </w:pPr>
          </w:p>
        </w:tc>
        <w:tc>
          <w:tcPr>
            <w:tcW w:w="2250" w:type="dxa"/>
          </w:tcPr>
          <w:p w:rsidR="00DD66E2" w:rsidRPr="00AE0707" w:rsidRDefault="00DD66E2" w:rsidP="007366F0">
            <w:pPr>
              <w:rPr>
                <w:sz w:val="20"/>
                <w:szCs w:val="20"/>
              </w:rPr>
            </w:pPr>
          </w:p>
        </w:tc>
        <w:tc>
          <w:tcPr>
            <w:tcW w:w="563" w:type="dxa"/>
          </w:tcPr>
          <w:p w:rsidR="00DD66E2" w:rsidRPr="00AE0707" w:rsidRDefault="00DD66E2" w:rsidP="007366F0">
            <w:pPr>
              <w:rPr>
                <w:sz w:val="20"/>
                <w:szCs w:val="20"/>
              </w:rPr>
            </w:pPr>
          </w:p>
        </w:tc>
        <w:tc>
          <w:tcPr>
            <w:tcW w:w="3150" w:type="dxa"/>
          </w:tcPr>
          <w:p w:rsidR="00DD66E2" w:rsidRDefault="00DD66E2" w:rsidP="007366F0">
            <w:pPr>
              <w:rPr>
                <w:sz w:val="20"/>
                <w:szCs w:val="20"/>
              </w:rPr>
            </w:pPr>
          </w:p>
        </w:tc>
        <w:tc>
          <w:tcPr>
            <w:tcW w:w="2160" w:type="dxa"/>
          </w:tcPr>
          <w:p w:rsidR="00DD66E2" w:rsidRDefault="00FE08B5" w:rsidP="007366F0">
            <w:pPr>
              <w:rPr>
                <w:sz w:val="20"/>
                <w:szCs w:val="20"/>
              </w:rPr>
            </w:pPr>
            <w:r>
              <w:rPr>
                <w:sz w:val="20"/>
                <w:szCs w:val="20"/>
              </w:rPr>
              <w:t>Carrie Geisbauer</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b/>
                <w:sz w:val="18"/>
                <w:szCs w:val="18"/>
              </w:rPr>
              <w:t>Physical Science &amp; Career Education</w:t>
            </w:r>
          </w:p>
        </w:tc>
        <w:tc>
          <w:tcPr>
            <w:tcW w:w="2160" w:type="dxa"/>
          </w:tcPr>
          <w:p w:rsidR="006B3D2C" w:rsidRPr="00AE0707" w:rsidRDefault="00082E00" w:rsidP="007366F0">
            <w:pPr>
              <w:rPr>
                <w:sz w:val="20"/>
                <w:szCs w:val="20"/>
              </w:rPr>
            </w:pPr>
            <w:proofErr w:type="spellStart"/>
            <w:r>
              <w:rPr>
                <w:sz w:val="20"/>
                <w:szCs w:val="20"/>
              </w:rPr>
              <w:t>Esmail</w:t>
            </w:r>
            <w:proofErr w:type="spellEnd"/>
            <w:r>
              <w:rPr>
                <w:sz w:val="20"/>
                <w:szCs w:val="20"/>
              </w:rPr>
              <w:t xml:space="preserve"> </w:t>
            </w:r>
            <w:proofErr w:type="spellStart"/>
            <w:r>
              <w:rPr>
                <w:sz w:val="20"/>
                <w:szCs w:val="20"/>
              </w:rPr>
              <w:t>Nikjeh</w:t>
            </w:r>
            <w:proofErr w:type="spellEnd"/>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6B3D2C" w:rsidP="007366F0">
            <w:pPr>
              <w:rPr>
                <w:sz w:val="20"/>
                <w:szCs w:val="20"/>
              </w:rPr>
            </w:pP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bl>
    <w:p w:rsidR="006B3D2C" w:rsidRDefault="006B3D2C" w:rsidP="00777D3A">
      <w:pPr>
        <w:spacing w:after="0" w:line="240" w:lineRule="auto"/>
        <w:rPr>
          <w:rFonts w:eastAsia="Times New Roman" w:cs="Times New Roman"/>
          <w:b/>
          <w:szCs w:val="24"/>
        </w:r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p w:rsidR="00DE7188" w:rsidRDefault="00DE7188" w:rsidP="00B60508">
            <w:pPr>
              <w:pStyle w:val="ListParagraph"/>
              <w:numPr>
                <w:ilvl w:val="0"/>
                <w:numId w:val="10"/>
              </w:numPr>
              <w:rPr>
                <w:rFonts w:asciiTheme="minorHAnsi" w:hAnsiTheme="minorHAnsi"/>
                <w:sz w:val="20"/>
                <w:szCs w:val="20"/>
              </w:rPr>
            </w:pPr>
            <w:r>
              <w:rPr>
                <w:rFonts w:asciiTheme="minorHAnsi" w:hAnsiTheme="minorHAnsi"/>
                <w:sz w:val="20"/>
                <w:szCs w:val="20"/>
              </w:rPr>
              <w:t xml:space="preserve">Announcements – </w:t>
            </w:r>
          </w:p>
          <w:p w:rsidR="00DE7188" w:rsidRDefault="00DE7188" w:rsidP="00DE7188">
            <w:pPr>
              <w:pStyle w:val="ListParagraph"/>
              <w:numPr>
                <w:ilvl w:val="1"/>
                <w:numId w:val="10"/>
              </w:numPr>
              <w:rPr>
                <w:rFonts w:asciiTheme="minorHAnsi" w:hAnsiTheme="minorHAnsi"/>
                <w:sz w:val="20"/>
                <w:szCs w:val="20"/>
              </w:rPr>
            </w:pPr>
            <w:r>
              <w:rPr>
                <w:rFonts w:asciiTheme="minorHAnsi" w:hAnsiTheme="minorHAnsi"/>
                <w:sz w:val="20"/>
                <w:szCs w:val="20"/>
              </w:rPr>
              <w:t>Two different workshops lead by Frank Harris on December 5</w:t>
            </w:r>
            <w:r w:rsidRPr="00DE7188">
              <w:rPr>
                <w:rFonts w:asciiTheme="minorHAnsi" w:hAnsiTheme="minorHAnsi"/>
                <w:sz w:val="20"/>
                <w:szCs w:val="20"/>
                <w:vertAlign w:val="superscript"/>
              </w:rPr>
              <w:t>th</w:t>
            </w:r>
            <w:r>
              <w:rPr>
                <w:rFonts w:asciiTheme="minorHAnsi" w:hAnsiTheme="minorHAnsi"/>
                <w:sz w:val="20"/>
                <w:szCs w:val="20"/>
              </w:rPr>
              <w:t xml:space="preserve"> </w:t>
            </w:r>
          </w:p>
          <w:p w:rsidR="00DE7188" w:rsidRDefault="00DE7188" w:rsidP="00DE7188">
            <w:pPr>
              <w:pStyle w:val="ListParagraph"/>
              <w:numPr>
                <w:ilvl w:val="1"/>
                <w:numId w:val="10"/>
              </w:numPr>
              <w:rPr>
                <w:rFonts w:asciiTheme="minorHAnsi" w:hAnsiTheme="minorHAnsi"/>
                <w:sz w:val="20"/>
                <w:szCs w:val="20"/>
              </w:rPr>
            </w:pPr>
            <w:r>
              <w:rPr>
                <w:rFonts w:asciiTheme="minorHAnsi" w:hAnsiTheme="minorHAnsi"/>
                <w:sz w:val="20"/>
                <w:szCs w:val="20"/>
              </w:rPr>
              <w:t xml:space="preserve">Dr. Michelle </w:t>
            </w:r>
            <w:proofErr w:type="spellStart"/>
            <w:r>
              <w:rPr>
                <w:rFonts w:asciiTheme="minorHAnsi" w:hAnsiTheme="minorHAnsi"/>
                <w:sz w:val="20"/>
                <w:szCs w:val="20"/>
              </w:rPr>
              <w:t>Kuranishi</w:t>
            </w:r>
            <w:proofErr w:type="spellEnd"/>
            <w:r>
              <w:rPr>
                <w:rFonts w:asciiTheme="minorHAnsi" w:hAnsiTheme="minorHAnsi"/>
                <w:sz w:val="20"/>
                <w:szCs w:val="20"/>
              </w:rPr>
              <w:t xml:space="preserve"> will be a special guest at Moorpark College on November 22</w:t>
            </w:r>
            <w:r w:rsidRPr="00DE7188">
              <w:rPr>
                <w:rFonts w:asciiTheme="minorHAnsi" w:hAnsiTheme="minorHAnsi"/>
                <w:sz w:val="20"/>
                <w:szCs w:val="20"/>
                <w:vertAlign w:val="superscript"/>
              </w:rPr>
              <w:t>nd</w:t>
            </w:r>
            <w:r>
              <w:rPr>
                <w:rFonts w:asciiTheme="minorHAnsi" w:hAnsiTheme="minorHAnsi"/>
                <w:sz w:val="20"/>
                <w:szCs w:val="20"/>
              </w:rPr>
              <w:t>, FH 220.</w:t>
            </w:r>
          </w:p>
          <w:p w:rsidR="00DE7188" w:rsidRDefault="00DE7188" w:rsidP="00DE7188">
            <w:pPr>
              <w:pStyle w:val="ListParagraph"/>
              <w:numPr>
                <w:ilvl w:val="1"/>
                <w:numId w:val="10"/>
              </w:numPr>
              <w:rPr>
                <w:rFonts w:asciiTheme="minorHAnsi" w:hAnsiTheme="minorHAnsi"/>
                <w:sz w:val="20"/>
                <w:szCs w:val="20"/>
              </w:rPr>
            </w:pPr>
            <w:r>
              <w:rPr>
                <w:rFonts w:asciiTheme="minorHAnsi" w:hAnsiTheme="minorHAnsi"/>
                <w:sz w:val="20"/>
                <w:szCs w:val="20"/>
              </w:rPr>
              <w:t>Aspen Institute Nomination - #1 in completion; transfer rates – Mary is taking the lead on applying and submitting a proposal.</w:t>
            </w:r>
          </w:p>
          <w:p w:rsidR="00DE7188" w:rsidRPr="00DE7188" w:rsidRDefault="00DE7188" w:rsidP="00DE7188">
            <w:pPr>
              <w:pStyle w:val="ListParagraph"/>
              <w:numPr>
                <w:ilvl w:val="1"/>
                <w:numId w:val="10"/>
              </w:numPr>
              <w:rPr>
                <w:rFonts w:asciiTheme="minorHAnsi" w:hAnsiTheme="minorHAnsi"/>
                <w:sz w:val="20"/>
                <w:szCs w:val="20"/>
              </w:rPr>
            </w:pPr>
            <w:r>
              <w:rPr>
                <w:rFonts w:asciiTheme="minorHAnsi" w:hAnsiTheme="minorHAnsi"/>
                <w:sz w:val="20"/>
                <w:szCs w:val="20"/>
              </w:rPr>
              <w:t>Campaign for College – Moorpark was recognized and received an award accepted by Julius, Mary, and Amanuel in Los Angeles.</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Pr="003C0038" w:rsidRDefault="00CA4990" w:rsidP="00B17B86">
            <w:pPr>
              <w:pStyle w:val="ListParagraph"/>
              <w:numPr>
                <w:ilvl w:val="0"/>
                <w:numId w:val="10"/>
              </w:numPr>
              <w:rPr>
                <w:rFonts w:asciiTheme="minorHAnsi" w:hAnsiTheme="minorHAnsi"/>
                <w:sz w:val="20"/>
                <w:szCs w:val="20"/>
              </w:rPr>
            </w:pPr>
            <w:r w:rsidRPr="003C0038">
              <w:rPr>
                <w:rFonts w:asciiTheme="minorHAnsi" w:hAnsiTheme="minorHAnsi"/>
                <w:sz w:val="20"/>
                <w:szCs w:val="20"/>
              </w:rPr>
              <w:t>Agenda Approva</w:t>
            </w:r>
            <w:r w:rsidR="00327A9E" w:rsidRPr="003C0038">
              <w:rPr>
                <w:rFonts w:asciiTheme="minorHAnsi" w:hAnsiTheme="minorHAnsi"/>
                <w:sz w:val="20"/>
                <w:szCs w:val="20"/>
              </w:rPr>
              <w:t>l</w:t>
            </w:r>
          </w:p>
          <w:p w:rsidR="00730E61" w:rsidRPr="003C0038" w:rsidRDefault="00082E00" w:rsidP="00DE7188">
            <w:pPr>
              <w:pStyle w:val="ListParagraph"/>
              <w:numPr>
                <w:ilvl w:val="0"/>
                <w:numId w:val="10"/>
              </w:numPr>
              <w:rPr>
                <w:rFonts w:asciiTheme="minorHAnsi" w:hAnsiTheme="minorHAnsi"/>
                <w:sz w:val="20"/>
                <w:szCs w:val="20"/>
              </w:rPr>
            </w:pPr>
            <w:r w:rsidRPr="003C0038">
              <w:rPr>
                <w:rFonts w:asciiTheme="minorHAnsi" w:hAnsiTheme="minorHAnsi"/>
                <w:sz w:val="20"/>
                <w:szCs w:val="20"/>
              </w:rPr>
              <w:t>Minutes Approval (</w:t>
            </w:r>
            <w:r w:rsidR="0008180C" w:rsidRPr="003C0038">
              <w:rPr>
                <w:rFonts w:asciiTheme="minorHAnsi" w:hAnsiTheme="minorHAnsi"/>
                <w:sz w:val="20"/>
                <w:szCs w:val="20"/>
              </w:rPr>
              <w:t>10/23</w:t>
            </w:r>
            <w:r w:rsidRPr="003C0038">
              <w:rPr>
                <w:rFonts w:asciiTheme="minorHAnsi" w:hAnsiTheme="minorHAnsi"/>
                <w:sz w:val="20"/>
                <w:szCs w:val="20"/>
              </w:rPr>
              <w:t>/19</w:t>
            </w:r>
            <w:r w:rsidR="00DE6A52" w:rsidRPr="003C0038">
              <w:rPr>
                <w:rFonts w:asciiTheme="minorHAnsi" w:hAnsiTheme="minorHAnsi"/>
                <w:sz w:val="20"/>
                <w:szCs w:val="20"/>
              </w:rPr>
              <w:t>)</w:t>
            </w: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D30D50" w:rsidRPr="003C0038" w:rsidRDefault="00D30D50" w:rsidP="00DE7188">
            <w:pPr>
              <w:numPr>
                <w:ilvl w:val="0"/>
                <w:numId w:val="10"/>
              </w:numPr>
              <w:spacing w:after="0" w:line="259" w:lineRule="auto"/>
              <w:contextualSpacing/>
              <w:rPr>
                <w:rFonts w:eastAsia="Times New Roman" w:cs="Calibri"/>
                <w:bCs/>
                <w:sz w:val="20"/>
                <w:szCs w:val="20"/>
              </w:rPr>
            </w:pPr>
            <w:r w:rsidRPr="003C0038">
              <w:rPr>
                <w:rFonts w:eastAsia="Times New Roman" w:cs="Calibri"/>
                <w:bCs/>
                <w:sz w:val="20"/>
                <w:szCs w:val="20"/>
              </w:rPr>
              <w:t xml:space="preserve">SEA </w:t>
            </w:r>
            <w:r w:rsidR="00DE7188" w:rsidRPr="003C0038">
              <w:rPr>
                <w:rFonts w:eastAsia="Times New Roman" w:cs="Calibri"/>
                <w:bCs/>
                <w:sz w:val="20"/>
                <w:szCs w:val="20"/>
              </w:rPr>
              <w:t xml:space="preserve">Funding Request Proposal - Jessica Hasson and Brian Burns </w:t>
            </w:r>
          </w:p>
          <w:p w:rsidR="00FA057E" w:rsidRPr="003C0038" w:rsidRDefault="00DE7188" w:rsidP="00DE7188">
            <w:pPr>
              <w:numPr>
                <w:ilvl w:val="1"/>
                <w:numId w:val="10"/>
              </w:numPr>
              <w:spacing w:after="0" w:line="259" w:lineRule="auto"/>
              <w:contextualSpacing/>
              <w:rPr>
                <w:sz w:val="20"/>
                <w:szCs w:val="20"/>
              </w:rPr>
            </w:pPr>
            <w:r w:rsidRPr="003C0038">
              <w:rPr>
                <w:rFonts w:eastAsia="Times New Roman" w:cs="Calibri"/>
                <w:bCs/>
                <w:sz w:val="20"/>
                <w:szCs w:val="20"/>
              </w:rPr>
              <w:t xml:space="preserve">Presented proposal to committee. The committee </w:t>
            </w:r>
            <w:r w:rsidR="003C0038">
              <w:rPr>
                <w:rFonts w:eastAsia="Times New Roman" w:cs="Calibri"/>
                <w:bCs/>
                <w:sz w:val="20"/>
                <w:szCs w:val="20"/>
              </w:rPr>
              <w:t>had</w:t>
            </w:r>
            <w:r w:rsidRPr="003C0038">
              <w:rPr>
                <w:rFonts w:eastAsia="Times New Roman" w:cs="Calibri"/>
                <w:bCs/>
                <w:sz w:val="20"/>
                <w:szCs w:val="20"/>
              </w:rPr>
              <w:t xml:space="preserve"> questions regarding the exact dollar amount being requested. </w:t>
            </w:r>
            <w:r w:rsidR="003C0038">
              <w:rPr>
                <w:rFonts w:eastAsia="Times New Roman" w:cs="Calibri"/>
                <w:bCs/>
                <w:sz w:val="20"/>
                <w:szCs w:val="20"/>
              </w:rPr>
              <w:t xml:space="preserve">Discussion Followed. </w:t>
            </w:r>
          </w:p>
          <w:p w:rsidR="003C0038" w:rsidRPr="003C0038" w:rsidRDefault="003C0038" w:rsidP="00DE7188">
            <w:pPr>
              <w:numPr>
                <w:ilvl w:val="1"/>
                <w:numId w:val="10"/>
              </w:numPr>
              <w:spacing w:after="0" w:line="259" w:lineRule="auto"/>
              <w:contextualSpacing/>
              <w:rPr>
                <w:sz w:val="20"/>
                <w:szCs w:val="20"/>
              </w:rPr>
            </w:pPr>
            <w:r>
              <w:rPr>
                <w:rFonts w:eastAsia="Times New Roman" w:cs="Calibri"/>
                <w:bCs/>
                <w:sz w:val="20"/>
                <w:szCs w:val="20"/>
              </w:rPr>
              <w:t xml:space="preserve">Committee advised that gift cards as part of their request for materials cannot be granted due to the SEA Program Expenditure Guidelines – gift cards far under gifts that are not allowable expenditures. </w:t>
            </w:r>
          </w:p>
          <w:p w:rsidR="003C0038" w:rsidRPr="003C0038" w:rsidRDefault="003C0038" w:rsidP="00DE7188">
            <w:pPr>
              <w:numPr>
                <w:ilvl w:val="1"/>
                <w:numId w:val="10"/>
              </w:numPr>
              <w:spacing w:after="0" w:line="259" w:lineRule="auto"/>
              <w:contextualSpacing/>
              <w:rPr>
                <w:sz w:val="20"/>
                <w:szCs w:val="20"/>
              </w:rPr>
            </w:pPr>
            <w:r w:rsidRPr="003C0038">
              <w:rPr>
                <w:rFonts w:eastAsia="Times New Roman" w:cs="Calibri"/>
                <w:bCs/>
                <w:sz w:val="20"/>
                <w:szCs w:val="20"/>
              </w:rPr>
              <w:t>Jessica and Brian decided to move forward with the $5100.</w:t>
            </w:r>
          </w:p>
          <w:p w:rsidR="003C0038" w:rsidRPr="003C0038" w:rsidRDefault="003C0038" w:rsidP="003C0038">
            <w:pPr>
              <w:numPr>
                <w:ilvl w:val="1"/>
                <w:numId w:val="10"/>
              </w:numPr>
              <w:spacing w:after="0" w:line="259" w:lineRule="auto"/>
              <w:contextualSpacing/>
              <w:rPr>
                <w:sz w:val="20"/>
                <w:szCs w:val="20"/>
              </w:rPr>
            </w:pPr>
            <w:r w:rsidRPr="003C0038">
              <w:rPr>
                <w:rFonts w:eastAsia="Times New Roman" w:cs="Calibri"/>
                <w:bCs/>
                <w:sz w:val="20"/>
                <w:szCs w:val="20"/>
              </w:rPr>
              <w:t>Committee rated proposal on their rubrics and submitted to Trulie.</w:t>
            </w:r>
          </w:p>
          <w:p w:rsidR="003C0038" w:rsidRDefault="003C0038" w:rsidP="003C0038">
            <w:pPr>
              <w:pStyle w:val="ListParagraph"/>
              <w:numPr>
                <w:ilvl w:val="0"/>
                <w:numId w:val="20"/>
              </w:numPr>
              <w:spacing w:line="259" w:lineRule="auto"/>
              <w:rPr>
                <w:rFonts w:asciiTheme="minorHAnsi" w:hAnsiTheme="minorHAnsi"/>
                <w:sz w:val="20"/>
                <w:szCs w:val="20"/>
              </w:rPr>
            </w:pPr>
            <w:r w:rsidRPr="003C0038">
              <w:rPr>
                <w:rFonts w:asciiTheme="minorHAnsi" w:hAnsiTheme="minorHAnsi"/>
                <w:sz w:val="20"/>
                <w:szCs w:val="20"/>
              </w:rPr>
              <w:t xml:space="preserve">SEA Annual Report </w:t>
            </w:r>
            <w:r>
              <w:rPr>
                <w:rFonts w:asciiTheme="minorHAnsi" w:hAnsiTheme="minorHAnsi"/>
                <w:sz w:val="20"/>
                <w:szCs w:val="20"/>
              </w:rPr>
              <w:t xml:space="preserve">– </w:t>
            </w:r>
          </w:p>
          <w:p w:rsidR="003C0038" w:rsidRDefault="003C0038" w:rsidP="003C0038">
            <w:pPr>
              <w:pStyle w:val="ListParagraph"/>
              <w:numPr>
                <w:ilvl w:val="1"/>
                <w:numId w:val="20"/>
              </w:numPr>
              <w:spacing w:line="259" w:lineRule="auto"/>
              <w:rPr>
                <w:rFonts w:asciiTheme="minorHAnsi" w:hAnsiTheme="minorHAnsi"/>
                <w:sz w:val="20"/>
                <w:szCs w:val="20"/>
              </w:rPr>
            </w:pPr>
            <w:r>
              <w:rPr>
                <w:rFonts w:asciiTheme="minorHAnsi" w:hAnsiTheme="minorHAnsi"/>
                <w:sz w:val="20"/>
                <w:szCs w:val="20"/>
              </w:rPr>
              <w:t>Report is due January 1</w:t>
            </w:r>
            <w:r w:rsidRPr="003C0038">
              <w:rPr>
                <w:rFonts w:asciiTheme="minorHAnsi" w:hAnsiTheme="minorHAnsi"/>
                <w:sz w:val="20"/>
                <w:szCs w:val="20"/>
                <w:vertAlign w:val="superscript"/>
              </w:rPr>
              <w:t>st</w:t>
            </w:r>
            <w:r>
              <w:rPr>
                <w:rFonts w:asciiTheme="minorHAnsi" w:hAnsiTheme="minorHAnsi"/>
                <w:sz w:val="20"/>
                <w:szCs w:val="20"/>
              </w:rPr>
              <w:t xml:space="preserve">. </w:t>
            </w:r>
          </w:p>
          <w:p w:rsidR="003C0038" w:rsidRDefault="003C0038" w:rsidP="003C0038">
            <w:pPr>
              <w:pStyle w:val="ListParagraph"/>
              <w:numPr>
                <w:ilvl w:val="1"/>
                <w:numId w:val="20"/>
              </w:numPr>
              <w:spacing w:line="259" w:lineRule="auto"/>
              <w:rPr>
                <w:rFonts w:asciiTheme="minorHAnsi" w:hAnsiTheme="minorHAnsi"/>
                <w:sz w:val="20"/>
                <w:szCs w:val="20"/>
              </w:rPr>
            </w:pPr>
            <w:r>
              <w:rPr>
                <w:rFonts w:asciiTheme="minorHAnsi" w:hAnsiTheme="minorHAnsi"/>
                <w:sz w:val="20"/>
                <w:szCs w:val="20"/>
              </w:rPr>
              <w:t xml:space="preserve">Discussion followed as to why the approvers were changed; Johnny will look into. </w:t>
            </w:r>
          </w:p>
          <w:p w:rsidR="003C0038" w:rsidRDefault="003C0038" w:rsidP="003C0038">
            <w:pPr>
              <w:pStyle w:val="ListParagraph"/>
              <w:numPr>
                <w:ilvl w:val="1"/>
                <w:numId w:val="20"/>
              </w:numPr>
              <w:spacing w:line="259" w:lineRule="auto"/>
              <w:rPr>
                <w:rFonts w:asciiTheme="minorHAnsi" w:hAnsiTheme="minorHAnsi"/>
                <w:sz w:val="20"/>
                <w:szCs w:val="20"/>
              </w:rPr>
            </w:pPr>
            <w:r>
              <w:rPr>
                <w:rFonts w:asciiTheme="minorHAnsi" w:hAnsiTheme="minorHAnsi"/>
                <w:sz w:val="20"/>
                <w:szCs w:val="20"/>
              </w:rPr>
              <w:t xml:space="preserve">Johnny walked us through the report as follows: </w:t>
            </w:r>
          </w:p>
          <w:p w:rsidR="003C0038" w:rsidRDefault="003C0038" w:rsidP="003C0038">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Disproportionately Impacted (DI) S</w:t>
            </w:r>
            <w:r w:rsidR="00032982">
              <w:rPr>
                <w:rFonts w:asciiTheme="minorHAnsi" w:hAnsiTheme="minorHAnsi"/>
                <w:sz w:val="20"/>
                <w:szCs w:val="20"/>
              </w:rPr>
              <w:t>tudent Group Metrics brief discussion</w:t>
            </w:r>
          </w:p>
          <w:p w:rsidR="003C0038" w:rsidRDefault="003C0038" w:rsidP="003C0038">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 xml:space="preserve">Activities – connected to the DI groups – every college has to at least target Hispanics/Latinos or more groups. The categories are bullet points for what the campus is intending to do/work on. </w:t>
            </w:r>
          </w:p>
          <w:p w:rsidR="003C0038" w:rsidRDefault="003C0038" w:rsidP="003C0038">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 xml:space="preserve">Expenditures – How we have spent funds thus far. Page 15 provides information on where we intend to spend our money – rough estimate – this is for the entire 3.5 million </w:t>
            </w:r>
          </w:p>
          <w:p w:rsidR="003C0038" w:rsidRDefault="003C0038" w:rsidP="003C0038">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 xml:space="preserve">Success Story – need committee ideas and feedback – what should we include here. </w:t>
            </w:r>
            <w:r w:rsidR="00032982">
              <w:rPr>
                <w:rFonts w:asciiTheme="minorHAnsi" w:hAnsiTheme="minorHAnsi"/>
                <w:sz w:val="20"/>
                <w:szCs w:val="20"/>
              </w:rPr>
              <w:t>(Example: How we as faculty/staff collaborated together to improve a student’s future)</w:t>
            </w:r>
          </w:p>
          <w:p w:rsidR="003C0038" w:rsidRDefault="003C0038" w:rsidP="003C0038">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 xml:space="preserve">Challenges </w:t>
            </w:r>
            <w:r w:rsidR="00032982">
              <w:rPr>
                <w:rFonts w:asciiTheme="minorHAnsi" w:hAnsiTheme="minorHAnsi"/>
                <w:sz w:val="20"/>
                <w:szCs w:val="20"/>
              </w:rPr>
              <w:t>– same thoughts as previous bullet. (Example: Aspen)</w:t>
            </w:r>
          </w:p>
          <w:p w:rsidR="00032982" w:rsidRDefault="00032982" w:rsidP="003C0038">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Johnny will need any revisions from committee members by noon on November 26</w:t>
            </w:r>
            <w:r w:rsidRPr="00032982">
              <w:rPr>
                <w:rFonts w:asciiTheme="minorHAnsi" w:hAnsiTheme="minorHAnsi"/>
                <w:sz w:val="20"/>
                <w:szCs w:val="20"/>
                <w:vertAlign w:val="superscript"/>
              </w:rPr>
              <w:t>th</w:t>
            </w:r>
            <w:r>
              <w:rPr>
                <w:rFonts w:asciiTheme="minorHAnsi" w:hAnsiTheme="minorHAnsi"/>
                <w:sz w:val="20"/>
                <w:szCs w:val="20"/>
              </w:rPr>
              <w:t xml:space="preserve"> in order to submit to Nenagh for the Academic Senate on December 3</w:t>
            </w:r>
            <w:r w:rsidRPr="00032982">
              <w:rPr>
                <w:rFonts w:asciiTheme="minorHAnsi" w:hAnsiTheme="minorHAnsi"/>
                <w:sz w:val="20"/>
                <w:szCs w:val="20"/>
                <w:vertAlign w:val="superscript"/>
              </w:rPr>
              <w:t>rd</w:t>
            </w:r>
            <w:r>
              <w:rPr>
                <w:rFonts w:asciiTheme="minorHAnsi" w:hAnsiTheme="minorHAnsi"/>
                <w:sz w:val="20"/>
                <w:szCs w:val="20"/>
              </w:rPr>
              <w:t xml:space="preserve"> and submitted to DAC on December 4</w:t>
            </w:r>
            <w:r w:rsidRPr="00032982">
              <w:rPr>
                <w:rFonts w:asciiTheme="minorHAnsi" w:hAnsiTheme="minorHAnsi"/>
                <w:sz w:val="20"/>
                <w:szCs w:val="20"/>
                <w:vertAlign w:val="superscript"/>
              </w:rPr>
              <w:t>th</w:t>
            </w:r>
            <w:r>
              <w:rPr>
                <w:rFonts w:asciiTheme="minorHAnsi" w:hAnsiTheme="minorHAnsi"/>
                <w:sz w:val="20"/>
                <w:szCs w:val="20"/>
              </w:rPr>
              <w:t xml:space="preserve">. </w:t>
            </w:r>
          </w:p>
          <w:p w:rsidR="00032982" w:rsidRDefault="00032982" w:rsidP="003C0038">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 xml:space="preserve">Committee recognized Johnny for his hard work on the SEA Plan. </w:t>
            </w:r>
          </w:p>
          <w:p w:rsidR="003C0038" w:rsidRDefault="003C0038" w:rsidP="003C0038">
            <w:pPr>
              <w:pStyle w:val="ListParagraph"/>
              <w:numPr>
                <w:ilvl w:val="0"/>
                <w:numId w:val="20"/>
              </w:numPr>
              <w:spacing w:line="259" w:lineRule="auto"/>
              <w:rPr>
                <w:rFonts w:asciiTheme="minorHAnsi" w:hAnsiTheme="minorHAnsi"/>
                <w:sz w:val="20"/>
                <w:szCs w:val="20"/>
              </w:rPr>
            </w:pPr>
            <w:r>
              <w:rPr>
                <w:rFonts w:asciiTheme="minorHAnsi" w:hAnsiTheme="minorHAnsi"/>
                <w:sz w:val="20"/>
                <w:szCs w:val="20"/>
              </w:rPr>
              <w:lastRenderedPageBreak/>
              <w:t xml:space="preserve">OER Overview/Presentation - </w:t>
            </w:r>
          </w:p>
          <w:p w:rsidR="003C0038" w:rsidRDefault="00032982" w:rsidP="003C0038">
            <w:pPr>
              <w:pStyle w:val="ListParagraph"/>
              <w:numPr>
                <w:ilvl w:val="1"/>
                <w:numId w:val="20"/>
              </w:numPr>
              <w:spacing w:line="259" w:lineRule="auto"/>
              <w:rPr>
                <w:rFonts w:asciiTheme="minorHAnsi" w:hAnsiTheme="minorHAnsi"/>
                <w:sz w:val="20"/>
                <w:szCs w:val="20"/>
              </w:rPr>
            </w:pPr>
            <w:r>
              <w:rPr>
                <w:rFonts w:asciiTheme="minorHAnsi" w:hAnsiTheme="minorHAnsi"/>
                <w:sz w:val="20"/>
                <w:szCs w:val="20"/>
              </w:rPr>
              <w:t xml:space="preserve">Cynthia provided updates on her role as ZTC Coordinator and OER Liaison </w:t>
            </w:r>
          </w:p>
          <w:p w:rsidR="00032982" w:rsidRDefault="00032982" w:rsidP="00032982">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 xml:space="preserve">Presented slideshow with statistics from other colleges and Moorpark college – regarding textbook costs, increase ZTC designated courses, etc. </w:t>
            </w:r>
          </w:p>
          <w:p w:rsidR="00032982" w:rsidRPr="003C0038" w:rsidRDefault="00032982" w:rsidP="00032982">
            <w:pPr>
              <w:pStyle w:val="ListParagraph"/>
              <w:numPr>
                <w:ilvl w:val="2"/>
                <w:numId w:val="20"/>
              </w:numPr>
              <w:spacing w:line="259" w:lineRule="auto"/>
              <w:rPr>
                <w:rFonts w:asciiTheme="minorHAnsi" w:hAnsiTheme="minorHAnsi"/>
                <w:sz w:val="20"/>
                <w:szCs w:val="20"/>
              </w:rPr>
            </w:pPr>
            <w:r>
              <w:rPr>
                <w:rFonts w:asciiTheme="minorHAnsi" w:hAnsiTheme="minorHAnsi"/>
                <w:sz w:val="20"/>
                <w:szCs w:val="20"/>
              </w:rPr>
              <w:t>Main goal is how can we sustain this and meet our goals here at Moorpark College?</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032982" w:rsidRDefault="00DE7188" w:rsidP="00032982">
            <w:pPr>
              <w:pStyle w:val="ListParagraph"/>
              <w:numPr>
                <w:ilvl w:val="0"/>
                <w:numId w:val="21"/>
              </w:numPr>
              <w:rPr>
                <w:sz w:val="20"/>
                <w:szCs w:val="20"/>
              </w:rPr>
            </w:pPr>
            <w:r w:rsidRPr="00032982">
              <w:rPr>
                <w:sz w:val="20"/>
                <w:szCs w:val="20"/>
              </w:rPr>
              <w:t>Meeting adjourned at 2:25 p.m.</w:t>
            </w: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bookmarkStart w:id="0" w:name="_GoBack"/>
      <w:bookmarkEnd w:id="0"/>
    </w:p>
    <w:p w:rsidR="00EA6C4C" w:rsidRPr="00CA45EB" w:rsidRDefault="00EA6C4C" w:rsidP="00B60508"/>
    <w:sectPr w:rsidR="00EA6C4C"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9E" w:rsidRDefault="004E379E" w:rsidP="00B22AC7">
      <w:pPr>
        <w:spacing w:after="0" w:line="240" w:lineRule="auto"/>
      </w:pPr>
      <w:r>
        <w:separator/>
      </w:r>
    </w:p>
  </w:endnote>
  <w:endnote w:type="continuationSeparator" w:id="0">
    <w:p w:rsidR="004E379E" w:rsidRDefault="004E379E"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9E" w:rsidRDefault="004E379E" w:rsidP="00B22AC7">
      <w:pPr>
        <w:spacing w:after="0" w:line="240" w:lineRule="auto"/>
      </w:pPr>
      <w:r>
        <w:separator/>
      </w:r>
    </w:p>
  </w:footnote>
  <w:footnote w:type="continuationSeparator" w:id="0">
    <w:p w:rsidR="004E379E" w:rsidRDefault="004E379E"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A1267"/>
    <w:multiLevelType w:val="hybridMultilevel"/>
    <w:tmpl w:val="68F86B6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52C1A"/>
    <w:multiLevelType w:val="hybridMultilevel"/>
    <w:tmpl w:val="5C3CE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0D0AA0"/>
    <w:multiLevelType w:val="hybridMultilevel"/>
    <w:tmpl w:val="164E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95B1B5A"/>
    <w:multiLevelType w:val="hybridMultilevel"/>
    <w:tmpl w:val="EEA0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F46FB"/>
    <w:multiLevelType w:val="hybridMultilevel"/>
    <w:tmpl w:val="B792E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322CF2"/>
    <w:multiLevelType w:val="hybridMultilevel"/>
    <w:tmpl w:val="0EEE1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9"/>
  </w:num>
  <w:num w:numId="4">
    <w:abstractNumId w:val="4"/>
  </w:num>
  <w:num w:numId="5">
    <w:abstractNumId w:val="15"/>
  </w:num>
  <w:num w:numId="6">
    <w:abstractNumId w:val="0"/>
  </w:num>
  <w:num w:numId="7">
    <w:abstractNumId w:val="12"/>
  </w:num>
  <w:num w:numId="8">
    <w:abstractNumId w:val="18"/>
  </w:num>
  <w:num w:numId="9">
    <w:abstractNumId w:val="13"/>
  </w:num>
  <w:num w:numId="10">
    <w:abstractNumId w:val="7"/>
  </w:num>
  <w:num w:numId="11">
    <w:abstractNumId w:val="9"/>
  </w:num>
  <w:num w:numId="12">
    <w:abstractNumId w:val="6"/>
  </w:num>
  <w:num w:numId="13">
    <w:abstractNumId w:val="5"/>
  </w:num>
  <w:num w:numId="14">
    <w:abstractNumId w:val="17"/>
  </w:num>
  <w:num w:numId="15">
    <w:abstractNumId w:val="2"/>
  </w:num>
  <w:num w:numId="16">
    <w:abstractNumId w:val="20"/>
  </w:num>
  <w:num w:numId="17">
    <w:abstractNumId w:val="3"/>
  </w:num>
  <w:num w:numId="18">
    <w:abstractNumId w:val="16"/>
  </w:num>
  <w:num w:numId="19">
    <w:abstractNumId w:val="1"/>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32982"/>
    <w:rsid w:val="00045398"/>
    <w:rsid w:val="000770FE"/>
    <w:rsid w:val="0008180C"/>
    <w:rsid w:val="00082E00"/>
    <w:rsid w:val="0008543F"/>
    <w:rsid w:val="000A69E4"/>
    <w:rsid w:val="000C0D98"/>
    <w:rsid w:val="000C120A"/>
    <w:rsid w:val="000D0571"/>
    <w:rsid w:val="000E375F"/>
    <w:rsid w:val="000F2E62"/>
    <w:rsid w:val="00102B3D"/>
    <w:rsid w:val="00106770"/>
    <w:rsid w:val="0011073C"/>
    <w:rsid w:val="001171CE"/>
    <w:rsid w:val="001352E1"/>
    <w:rsid w:val="00135E73"/>
    <w:rsid w:val="001564F0"/>
    <w:rsid w:val="00156AA4"/>
    <w:rsid w:val="0016300F"/>
    <w:rsid w:val="00166B45"/>
    <w:rsid w:val="00166F41"/>
    <w:rsid w:val="001B2D8E"/>
    <w:rsid w:val="001E3944"/>
    <w:rsid w:val="001E73D8"/>
    <w:rsid w:val="001F7781"/>
    <w:rsid w:val="00207245"/>
    <w:rsid w:val="0021173C"/>
    <w:rsid w:val="00233C58"/>
    <w:rsid w:val="002379B0"/>
    <w:rsid w:val="0024022D"/>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7E5"/>
    <w:rsid w:val="002F689F"/>
    <w:rsid w:val="00305516"/>
    <w:rsid w:val="003176EC"/>
    <w:rsid w:val="00324DF3"/>
    <w:rsid w:val="00327A9E"/>
    <w:rsid w:val="00331287"/>
    <w:rsid w:val="0033522E"/>
    <w:rsid w:val="00350F17"/>
    <w:rsid w:val="003A288B"/>
    <w:rsid w:val="003A3CB4"/>
    <w:rsid w:val="003C0038"/>
    <w:rsid w:val="003D26DA"/>
    <w:rsid w:val="003E63F0"/>
    <w:rsid w:val="003F36E2"/>
    <w:rsid w:val="003F770E"/>
    <w:rsid w:val="00402DF4"/>
    <w:rsid w:val="00406888"/>
    <w:rsid w:val="0041768C"/>
    <w:rsid w:val="00425560"/>
    <w:rsid w:val="00430BE8"/>
    <w:rsid w:val="00442F00"/>
    <w:rsid w:val="00461E40"/>
    <w:rsid w:val="00473363"/>
    <w:rsid w:val="00474915"/>
    <w:rsid w:val="0049430C"/>
    <w:rsid w:val="004B1952"/>
    <w:rsid w:val="004C4238"/>
    <w:rsid w:val="004C4FDB"/>
    <w:rsid w:val="004D162B"/>
    <w:rsid w:val="004D675D"/>
    <w:rsid w:val="004E0AE4"/>
    <w:rsid w:val="004E379E"/>
    <w:rsid w:val="0050312C"/>
    <w:rsid w:val="0052063D"/>
    <w:rsid w:val="0052085C"/>
    <w:rsid w:val="00521465"/>
    <w:rsid w:val="00550994"/>
    <w:rsid w:val="00552E3C"/>
    <w:rsid w:val="00554536"/>
    <w:rsid w:val="0056217A"/>
    <w:rsid w:val="005646D4"/>
    <w:rsid w:val="00593396"/>
    <w:rsid w:val="005A0DA8"/>
    <w:rsid w:val="005A2AE3"/>
    <w:rsid w:val="005C20EA"/>
    <w:rsid w:val="005C42C4"/>
    <w:rsid w:val="005D383A"/>
    <w:rsid w:val="005E436E"/>
    <w:rsid w:val="005F13C2"/>
    <w:rsid w:val="0060717D"/>
    <w:rsid w:val="00613D6F"/>
    <w:rsid w:val="006259B7"/>
    <w:rsid w:val="00632552"/>
    <w:rsid w:val="00640299"/>
    <w:rsid w:val="006555E3"/>
    <w:rsid w:val="006567E4"/>
    <w:rsid w:val="0066603C"/>
    <w:rsid w:val="00673EF2"/>
    <w:rsid w:val="00691095"/>
    <w:rsid w:val="00692568"/>
    <w:rsid w:val="006A1D5F"/>
    <w:rsid w:val="006A6556"/>
    <w:rsid w:val="006A6A1C"/>
    <w:rsid w:val="006B16CD"/>
    <w:rsid w:val="006B3D2C"/>
    <w:rsid w:val="006C1D0E"/>
    <w:rsid w:val="006C61F0"/>
    <w:rsid w:val="006C6E13"/>
    <w:rsid w:val="006C72BF"/>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16F2"/>
    <w:rsid w:val="00742FB1"/>
    <w:rsid w:val="00745166"/>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701B"/>
    <w:rsid w:val="008F7328"/>
    <w:rsid w:val="009063F7"/>
    <w:rsid w:val="00916567"/>
    <w:rsid w:val="00921274"/>
    <w:rsid w:val="00951CC6"/>
    <w:rsid w:val="00953C25"/>
    <w:rsid w:val="00955BF9"/>
    <w:rsid w:val="00962F99"/>
    <w:rsid w:val="009667E8"/>
    <w:rsid w:val="00973C44"/>
    <w:rsid w:val="00977BE6"/>
    <w:rsid w:val="009827D7"/>
    <w:rsid w:val="00982D23"/>
    <w:rsid w:val="00991740"/>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0F5A"/>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408A"/>
    <w:rsid w:val="00BA28D9"/>
    <w:rsid w:val="00BA495C"/>
    <w:rsid w:val="00BB4C10"/>
    <w:rsid w:val="00BC0562"/>
    <w:rsid w:val="00BC2593"/>
    <w:rsid w:val="00BC6079"/>
    <w:rsid w:val="00BD6CF6"/>
    <w:rsid w:val="00BF047D"/>
    <w:rsid w:val="00BF2632"/>
    <w:rsid w:val="00BF70C7"/>
    <w:rsid w:val="00C11AD7"/>
    <w:rsid w:val="00C146A1"/>
    <w:rsid w:val="00C2080F"/>
    <w:rsid w:val="00C20E9B"/>
    <w:rsid w:val="00C22E4B"/>
    <w:rsid w:val="00C40AD2"/>
    <w:rsid w:val="00C43EE6"/>
    <w:rsid w:val="00C5046F"/>
    <w:rsid w:val="00C522D4"/>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20E43"/>
    <w:rsid w:val="00D30D50"/>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DE7188"/>
    <w:rsid w:val="00E0350B"/>
    <w:rsid w:val="00E07419"/>
    <w:rsid w:val="00E124DE"/>
    <w:rsid w:val="00E12560"/>
    <w:rsid w:val="00E12FDC"/>
    <w:rsid w:val="00E159D8"/>
    <w:rsid w:val="00E3145C"/>
    <w:rsid w:val="00E34855"/>
    <w:rsid w:val="00E40538"/>
    <w:rsid w:val="00E46468"/>
    <w:rsid w:val="00E47754"/>
    <w:rsid w:val="00E55C7A"/>
    <w:rsid w:val="00E61866"/>
    <w:rsid w:val="00E7117D"/>
    <w:rsid w:val="00E832CD"/>
    <w:rsid w:val="00E858DD"/>
    <w:rsid w:val="00E94823"/>
    <w:rsid w:val="00EA2937"/>
    <w:rsid w:val="00EA6C4C"/>
    <w:rsid w:val="00EB6815"/>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A057E"/>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46B40"/>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233">
      <w:bodyDiv w:val="1"/>
      <w:marLeft w:val="0"/>
      <w:marRight w:val="0"/>
      <w:marTop w:val="0"/>
      <w:marBottom w:val="0"/>
      <w:divBdr>
        <w:top w:val="none" w:sz="0" w:space="0" w:color="auto"/>
        <w:left w:val="none" w:sz="0" w:space="0" w:color="auto"/>
        <w:bottom w:val="none" w:sz="0" w:space="0" w:color="auto"/>
        <w:right w:val="none" w:sz="0" w:space="0" w:color="auto"/>
      </w:divBdr>
    </w:div>
    <w:div w:id="235165076">
      <w:bodyDiv w:val="1"/>
      <w:marLeft w:val="0"/>
      <w:marRight w:val="0"/>
      <w:marTop w:val="0"/>
      <w:marBottom w:val="0"/>
      <w:divBdr>
        <w:top w:val="none" w:sz="0" w:space="0" w:color="auto"/>
        <w:left w:val="none" w:sz="0" w:space="0" w:color="auto"/>
        <w:bottom w:val="none" w:sz="0" w:space="0" w:color="auto"/>
        <w:right w:val="none" w:sz="0" w:space="0" w:color="auto"/>
      </w:divBdr>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980767089">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111628522">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794059296">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2085E-4E76-4548-AFF3-2305E6F6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Adrienne Grashaw</cp:lastModifiedBy>
  <cp:revision>3</cp:revision>
  <cp:lastPrinted>2019-09-17T19:24:00Z</cp:lastPrinted>
  <dcterms:created xsi:type="dcterms:W3CDTF">2019-11-15T19:21:00Z</dcterms:created>
  <dcterms:modified xsi:type="dcterms:W3CDTF">2019-11-21T23:54:00Z</dcterms:modified>
</cp:coreProperties>
</file>