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</w:rPr>
        <w:t>VCCCD Board Policy Manual</w:t>
      </w:r>
    </w:p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</w:rPr>
        <w:t>Chapter 4 Academic Affairs</w:t>
      </w:r>
    </w:p>
    <w:p w:rsidR="00B435F4" w:rsidRPr="00B435F4" w:rsidRDefault="00B435F4" w:rsidP="00B435F4">
      <w:pPr>
        <w:spacing w:after="75" w:line="240" w:lineRule="auto"/>
        <w:ind w:left="1440" w:hanging="144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</w:rPr>
        <w:t xml:space="preserve">BP 4227 </w:t>
      </w:r>
      <w:r w:rsidRPr="00B435F4">
        <w:rPr>
          <w:rFonts w:ascii="Times New Roman" w:eastAsia="Times New Roman" w:hAnsi="Times New Roman" w:cs="Times New Roman"/>
          <w:strike/>
          <w:sz w:val="24"/>
          <w:szCs w:val="24"/>
        </w:rPr>
        <w:t>COURSE REPETITION ABSENT SUBSTANDARD ACADEMIC WORK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  <w:u w:val="single"/>
        </w:rPr>
        <w:t>Repeatable Courses</w:t>
      </w:r>
    </w:p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</w:rPr>
        <w:t>BP 4227</w:t>
      </w:r>
    </w:p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</w:rPr>
        <w:t>Active</w:t>
      </w:r>
    </w:p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Legal</w:t>
      </w:r>
      <w:bookmarkStart w:id="0" w:name="_GoBack"/>
      <w:bookmarkEnd w:id="0"/>
    </w:p>
    <w:p w:rsidR="00B435F4" w:rsidRPr="00B435F4" w:rsidRDefault="00B435F4" w:rsidP="00B435F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B43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5, Section 58161</w:t>
        </w:r>
      </w:hyperlink>
    </w:p>
    <w:p w:rsidR="00B435F4" w:rsidRPr="00B435F4" w:rsidRDefault="00B435F4" w:rsidP="00B435F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B43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5, Section 56029</w:t>
        </w:r>
      </w:hyperlink>
    </w:p>
    <w:p w:rsidR="00B435F4" w:rsidRPr="00B435F4" w:rsidRDefault="00B435F4" w:rsidP="00B435F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B43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5, Section 55253</w:t>
        </w:r>
      </w:hyperlink>
    </w:p>
    <w:p w:rsidR="00B435F4" w:rsidRPr="00B435F4" w:rsidRDefault="00B435F4" w:rsidP="00B435F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B43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5, Section 55042</w:t>
        </w:r>
      </w:hyperlink>
    </w:p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B435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Title 5, Section 55041</w:t>
        </w:r>
      </w:hyperlink>
    </w:p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</w:rPr>
        <w:t>June 19, 2012</w:t>
      </w:r>
    </w:p>
    <w:p w:rsidR="00B435F4" w:rsidRPr="00B435F4" w:rsidRDefault="00B435F4" w:rsidP="00B435F4">
      <w:pPr>
        <w:spacing w:after="7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Times New Roman" w:eastAsia="Times New Roman" w:hAnsi="Times New Roman" w:cs="Times New Roman"/>
          <w:sz w:val="24"/>
          <w:szCs w:val="24"/>
        </w:rPr>
        <w:t>Last Reviewed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5F4">
        <w:rPr>
          <w:rFonts w:ascii="Times New Roman" w:eastAsia="Times New Roman" w:hAnsi="Times New Roman" w:cs="Times New Roman"/>
          <w:sz w:val="24"/>
          <w:szCs w:val="24"/>
        </w:rPr>
        <w:t>June 19, 2012</w:t>
      </w:r>
    </w:p>
    <w:p w:rsidR="00B435F4" w:rsidRPr="00B435F4" w:rsidRDefault="00B435F4" w:rsidP="00B435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5F4" w:rsidRPr="00B435F4" w:rsidRDefault="00B435F4" w:rsidP="00B435F4">
      <w:pPr>
        <w:spacing w:after="1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435F4">
        <w:rPr>
          <w:rFonts w:ascii="Arial" w:eastAsia="Times New Roman" w:hAnsi="Arial" w:cs="Arial"/>
          <w:sz w:val="21"/>
          <w:szCs w:val="21"/>
        </w:rPr>
        <w:t>Under special circumstances, students may repeat courses in which a C/P (C=Satisfactory/P=Pass) or better grade was earned, or regardless of whether substandard academic work has been recorded.</w:t>
      </w:r>
      <w:r w:rsidRPr="00B435F4">
        <w:rPr>
          <w:rFonts w:ascii="Arial" w:eastAsia="Times New Roman" w:hAnsi="Arial" w:cs="Arial"/>
          <w:sz w:val="21"/>
          <w:szCs w:val="21"/>
        </w:rPr>
        <w:br/>
      </w:r>
      <w:r w:rsidRPr="00B435F4">
        <w:rPr>
          <w:rFonts w:ascii="Arial" w:eastAsia="Times New Roman" w:hAnsi="Arial" w:cs="Arial"/>
          <w:sz w:val="21"/>
          <w:szCs w:val="21"/>
        </w:rPr>
        <w:br/>
        <w:t>The Chancellor shall, in consultation with the Academic Senates, establish administrative procedures to implement this policy.</w:t>
      </w:r>
      <w:r w:rsidRPr="00B435F4">
        <w:rPr>
          <w:rFonts w:ascii="Arial" w:eastAsia="Times New Roman" w:hAnsi="Arial" w:cs="Arial"/>
          <w:sz w:val="21"/>
          <w:szCs w:val="21"/>
        </w:rPr>
        <w:br/>
      </w:r>
      <w:r w:rsidRPr="00B435F4">
        <w:rPr>
          <w:rFonts w:ascii="Arial" w:eastAsia="Times New Roman" w:hAnsi="Arial" w:cs="Arial"/>
          <w:sz w:val="21"/>
          <w:szCs w:val="21"/>
        </w:rPr>
        <w:br/>
        <w:t xml:space="preserve">See </w:t>
      </w:r>
      <w:hyperlink r:id="rId10" w:history="1">
        <w:r w:rsidRPr="00B435F4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Administrative Procedure 4227</w:t>
        </w:r>
      </w:hyperlink>
      <w:r w:rsidRPr="00B435F4">
        <w:rPr>
          <w:rFonts w:ascii="Arial" w:eastAsia="Times New Roman" w:hAnsi="Arial" w:cs="Arial"/>
          <w:sz w:val="21"/>
          <w:szCs w:val="21"/>
        </w:rPr>
        <w:t>.</w:t>
      </w:r>
    </w:p>
    <w:p w:rsidR="00F43D3E" w:rsidRDefault="00F43D3E"/>
    <w:sectPr w:rsidR="00F4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F4"/>
    <w:rsid w:val="00B435F4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060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2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1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5644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667904207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10687435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1491167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2131090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018538676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04074284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6028180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94761849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2068991753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94110488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634755020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  <w:divsChild>
                                                <w:div w:id="82825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61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20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5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993189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4378191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599601351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1523277638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  <w:div w:id="433205828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5042%22%29&amp;rlt=CLID%5FQRYRLT30234393313266&amp;rltdb=CLID%5FDB37579383313266&amp;rlti=1&amp;rp=%2Fsearch%2Fdefault%2Ewl&amp;rs=GVT1%2E0&amp;service=Search&amp;sp=CCR%2D1000&amp;srch=TRUE&amp;ss=CNT&amp;sskey=CLID%5FSSSA96579383313266&amp;tempinfo=FIND&amp;vr=2%2E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5253%22%29&amp;rlt=CLID%5FQRYRLT70519325813266&amp;rltdb=CLID%5FDB88254325813266&amp;rlti=1&amp;rp=%2Fsearch%2Fdefault%2Ewl&amp;rs=GVT1%2E0&amp;service=Search&amp;sp=CCR%2D1000&amp;srch=TRUE&amp;ss=CNT&amp;sskey=CLID%5FSSSA77254325813266&amp;tempinfo=FIND&amp;vr=2%2E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links.westlaw.com/result/default.aspx?action=Search&amp;cfid=1&amp;cnt=DOC&amp;db=CA-ADC&amp;eq=search&amp;fmqv=c&amp;fn=_top&amp;method=TNC&amp;n=1&amp;origin=Search&amp;query=CI%28%225+CA+ADC+S+56029%22%29&amp;rlt=CLID_QRYRLT9770514218276&amp;rltdb=CLID_DB3039314218276&amp;rlti=1&amp;rp=%2Fsearch%2Fdefault.wl&amp;rs=GVT1.0&amp;service=Search&amp;sp=CCR-1000&amp;srch=TRUE&amp;ss=CNT&amp;sskey=CLID_SSSA5340914218276&amp;tempinfo=FIND&amp;vr=2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eblinks.westlaw.com/result/default.aspx?action=Search&amp;cfid=1&amp;cnt=DOC&amp;db=CA%2DADC&amp;eq=search&amp;fmqv=c&amp;fn=%5Ftop&amp;method=TNC&amp;n=1&amp;origin=Search&amp;query=CI%28%225+CA+ADC+S+58161%22%29&amp;rlt=CLID%5FQRYRLT8933315913266&amp;rltdb=CLID%5FDB625215913266&amp;rlti=1&amp;rp=%2Fsearch%2Fdefault%2Ewl&amp;rs=GVT1%2E0&amp;service=Search&amp;sp=CCR%2D1000&amp;srch=TRUE&amp;ss=CNT&amp;sskey=CLID%5FSSSA325215913266&amp;tempinfo=FIND&amp;vr=2%2E0" TargetMode="External"/><Relationship Id="rId10" Type="http://schemas.openxmlformats.org/officeDocument/2006/relationships/hyperlink" Target="http://www.boarddocs.com/ca/vcccd/Board.nsf/goto?open&amp;id=863MY45D6D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links.westlaw.com/result/default.aspx?action=Search&amp;cfid=1&amp;cnt=DOC&amp;db=CA%2DADC&amp;eq=search&amp;fmqv=c&amp;fn=%5Ftop&amp;method=TNC&amp;mt=Westlaw&amp;n=1&amp;origin=Search&amp;query=CI%28%225+CA+ADC+S+55041%22%29&amp;rlt=CLID%5FQRYRLT56412563213266&amp;rltdb=CLID%5FDB75116563213266&amp;rlti=1&amp;rp=%2Fsearch%2Fdefault%2Ewl&amp;rs=GVT1%2E0&amp;service=Search&amp;sp=CCR%2D1000&amp;srch=TRUE&amp;ss=CNT&amp;sskey=CLID%5FSSSA51116563213266&amp;sv=Split&amp;tempinfo=FIND&amp;vr=2%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vcccd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Oxnard College</dc:creator>
  <cp:lastModifiedBy>Oxnard College</cp:lastModifiedBy>
  <cp:revision>1</cp:revision>
  <dcterms:created xsi:type="dcterms:W3CDTF">2013-11-19T19:53:00Z</dcterms:created>
  <dcterms:modified xsi:type="dcterms:W3CDTF">2013-11-19T19:55:00Z</dcterms:modified>
</cp:coreProperties>
</file>