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Pr="002773BD" w:rsidRDefault="007820CC">
      <w:pPr>
        <w:rPr>
          <w:rFonts w:ascii="Calibri" w:hAnsi="Calibri"/>
          <w:b/>
          <w:i/>
          <w:sz w:val="16"/>
          <w:szCs w:val="16"/>
        </w:rPr>
      </w:pPr>
      <w:r w:rsidRPr="002773BD">
        <w:rPr>
          <w:rFonts w:ascii="Calibri" w:hAnsi="Calibri"/>
          <w:b/>
          <w:i/>
          <w:sz w:val="16"/>
          <w:szCs w:val="16"/>
        </w:rPr>
        <w:t xml:space="preserve">Goals for </w:t>
      </w:r>
      <w:r w:rsidR="007A46ED" w:rsidRPr="002773BD">
        <w:rPr>
          <w:rFonts w:ascii="Calibri" w:hAnsi="Calibri"/>
          <w:b/>
          <w:i/>
          <w:sz w:val="16"/>
          <w:szCs w:val="16"/>
        </w:rPr>
        <w:t>2018-19:</w:t>
      </w:r>
    </w:p>
    <w:p w14:paraId="742251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Clarify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 xml:space="preserve"> charter (add measurable objectives)</w:t>
      </w:r>
    </w:p>
    <w:p w14:paraId="6395C68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Midterm Accreditation Report – review and recommend to Academic Senate (presented by workgroups outside the committee; QFE Project 1 by Institutional Effectiveness, QFE Project 2 by a workgroup)</w:t>
      </w:r>
    </w:p>
    <w:p w14:paraId="03EEBF1B"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Make recommendations for integrated planning models (QFE action item #2 reviewed by </w:t>
      </w:r>
      <w:proofErr w:type="spellStart"/>
      <w:r w:rsidRPr="002773BD">
        <w:rPr>
          <w:rFonts w:asciiTheme="majorHAnsi" w:hAnsiTheme="majorHAnsi"/>
          <w:i/>
          <w:sz w:val="16"/>
          <w:szCs w:val="16"/>
        </w:rPr>
        <w:t>EdCAP</w:t>
      </w:r>
      <w:proofErr w:type="spellEnd"/>
      <w:r w:rsidRPr="002773BD">
        <w:rPr>
          <w:rFonts w:asciiTheme="majorHAnsi" w:hAnsiTheme="majorHAnsi"/>
          <w:i/>
          <w:sz w:val="16"/>
          <w:szCs w:val="16"/>
        </w:rPr>
        <w:t>)</w:t>
      </w:r>
    </w:p>
    <w:p w14:paraId="792624E7"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Integrated Planning – address IEPI planning suggestions (or address integrated planning issues as outlined in the QFE and recommendations)</w:t>
      </w:r>
    </w:p>
    <w:p w14:paraId="4762B7AA" w14:textId="77777777" w:rsidR="002773BD" w:rsidRPr="002773BD" w:rsidRDefault="002773BD" w:rsidP="002773BD">
      <w:pPr>
        <w:pStyle w:val="ListParagraph"/>
        <w:numPr>
          <w:ilvl w:val="1"/>
          <w:numId w:val="28"/>
        </w:numPr>
        <w:rPr>
          <w:rFonts w:asciiTheme="majorHAnsi" w:hAnsiTheme="majorHAnsi"/>
          <w:i/>
          <w:sz w:val="16"/>
          <w:szCs w:val="16"/>
        </w:rPr>
      </w:pPr>
      <w:r w:rsidRPr="002773BD">
        <w:rPr>
          <w:rFonts w:asciiTheme="majorHAnsi" w:hAnsiTheme="majorHAnsi"/>
          <w:i/>
          <w:sz w:val="16"/>
          <w:szCs w:val="16"/>
        </w:rPr>
        <w:t>Look for opportunities to strengthen the connection between planning &amp; resources</w:t>
      </w:r>
    </w:p>
    <w:p w14:paraId="312CD771"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discuss, and modify Program Planning platform and interface</w:t>
      </w:r>
    </w:p>
    <w:p w14:paraId="2051C5FF"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Assessment of modifications to the Program Planning process (including three-year review cycle with ‘off years’)</w:t>
      </w:r>
    </w:p>
    <w:p w14:paraId="7C258719"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 xml:space="preserve">Program Plan report out and results from Vice Presidents and Academic Senate President </w:t>
      </w:r>
    </w:p>
    <w:p w14:paraId="46BCC484"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Cross-disciplinary program plan discussions: generate process or foster environment for implementation in 2019-2020</w:t>
      </w:r>
    </w:p>
    <w:p w14:paraId="52CBCE4C" w14:textId="77777777" w:rsidR="002773BD" w:rsidRPr="002773BD" w:rsidRDefault="002773BD" w:rsidP="002773BD">
      <w:pPr>
        <w:pStyle w:val="ListParagraph"/>
        <w:numPr>
          <w:ilvl w:val="0"/>
          <w:numId w:val="28"/>
        </w:numPr>
        <w:rPr>
          <w:rFonts w:asciiTheme="majorHAnsi" w:hAnsiTheme="majorHAnsi"/>
          <w:i/>
          <w:sz w:val="16"/>
          <w:szCs w:val="16"/>
        </w:rPr>
      </w:pPr>
      <w:r w:rsidRPr="002773BD">
        <w:rPr>
          <w:rFonts w:asciiTheme="majorHAnsi" w:hAnsiTheme="majorHAnsi"/>
          <w:i/>
          <w:sz w:val="16"/>
          <w:szCs w:val="16"/>
        </w:rPr>
        <w:t>Review Educational Master Plan drafts and make final recommendations to Academic Senate</w:t>
      </w:r>
    </w:p>
    <w:p w14:paraId="3CFAFF0D" w14:textId="77777777" w:rsidR="001F329F" w:rsidRPr="007820CC" w:rsidRDefault="001F329F" w:rsidP="007820CC">
      <w:pPr>
        <w:rPr>
          <w:rFonts w:ascii="Calibri" w:hAnsi="Calibri"/>
          <w:sz w:val="16"/>
          <w:szCs w:val="16"/>
        </w:rPr>
        <w:sectPr w:rsidR="001F329F" w:rsidRPr="007820CC" w:rsidSect="002773BD">
          <w:headerReference w:type="default" r:id="rId7"/>
          <w:footerReference w:type="even" r:id="rId8"/>
          <w:footerReference w:type="default" r:id="rId9"/>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718"/>
        <w:gridCol w:w="236"/>
        <w:gridCol w:w="1562"/>
        <w:gridCol w:w="2247"/>
        <w:gridCol w:w="720"/>
        <w:gridCol w:w="270"/>
        <w:gridCol w:w="1623"/>
        <w:gridCol w:w="2263"/>
        <w:gridCol w:w="727"/>
      </w:tblGrid>
      <w:tr w:rsidR="00DA5849" w:rsidRPr="009359EA" w14:paraId="61813B10" w14:textId="289B402E" w:rsidTr="009942B5">
        <w:trPr>
          <w:trHeight w:val="215"/>
        </w:trPr>
        <w:tc>
          <w:tcPr>
            <w:tcW w:w="1800"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1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36"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942B5">
        <w:trPr>
          <w:trHeight w:val="215"/>
        </w:trPr>
        <w:tc>
          <w:tcPr>
            <w:tcW w:w="1800"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0"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718" w:type="dxa"/>
            <w:shd w:val="clear" w:color="auto" w:fill="auto"/>
            <w:vAlign w:val="center"/>
          </w:tcPr>
          <w:p w14:paraId="3F2AD168" w14:textId="4357842E" w:rsidR="00817160" w:rsidRPr="009359EA" w:rsidRDefault="00EA0D70" w:rsidP="00F74C72">
            <w:pPr>
              <w:rPr>
                <w:rFonts w:ascii="Calibri" w:hAnsi="Calibri"/>
                <w:sz w:val="16"/>
                <w:szCs w:val="18"/>
              </w:rPr>
            </w:pPr>
            <w:r>
              <w:rPr>
                <w:rFonts w:ascii="Calibri" w:hAnsi="Calibri"/>
                <w:sz w:val="16"/>
                <w:szCs w:val="18"/>
              </w:rPr>
              <w:t>x</w:t>
            </w:r>
          </w:p>
        </w:tc>
        <w:tc>
          <w:tcPr>
            <w:tcW w:w="236"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162F2A50" w:rsidR="00817160" w:rsidRPr="009359EA" w:rsidRDefault="00BD2D18"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942B5">
        <w:trPr>
          <w:trHeight w:val="215"/>
        </w:trPr>
        <w:tc>
          <w:tcPr>
            <w:tcW w:w="1800"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0"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718" w:type="dxa"/>
            <w:shd w:val="clear" w:color="auto" w:fill="auto"/>
            <w:vAlign w:val="center"/>
          </w:tcPr>
          <w:p w14:paraId="044C097E" w14:textId="2EF54994" w:rsidR="00817160" w:rsidRPr="009359EA" w:rsidRDefault="00BD2D18" w:rsidP="00F74C72">
            <w:pPr>
              <w:rPr>
                <w:rFonts w:ascii="Calibri" w:hAnsi="Calibri"/>
                <w:sz w:val="16"/>
                <w:szCs w:val="18"/>
              </w:rPr>
            </w:pPr>
            <w:r>
              <w:rPr>
                <w:rFonts w:ascii="Calibri" w:hAnsi="Calibri"/>
                <w:sz w:val="16"/>
                <w:szCs w:val="18"/>
              </w:rPr>
              <w:t>x</w:t>
            </w:r>
          </w:p>
        </w:tc>
        <w:tc>
          <w:tcPr>
            <w:tcW w:w="236"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13148B42" w:rsidR="00817160" w:rsidRPr="009359EA" w:rsidRDefault="00BD2D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7FF61E18" w:rsidR="00817160" w:rsidRPr="009359EA" w:rsidRDefault="00BD2D18"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942B5">
        <w:trPr>
          <w:trHeight w:val="215"/>
        </w:trPr>
        <w:tc>
          <w:tcPr>
            <w:tcW w:w="1800"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0"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718" w:type="dxa"/>
            <w:shd w:val="clear" w:color="auto" w:fill="auto"/>
            <w:vAlign w:val="center"/>
          </w:tcPr>
          <w:p w14:paraId="77897DD5" w14:textId="4D5B1DE0" w:rsidR="00817160" w:rsidRPr="009359EA" w:rsidRDefault="00BD2D18" w:rsidP="00F74C72">
            <w:pPr>
              <w:rPr>
                <w:rFonts w:ascii="Calibri" w:hAnsi="Calibri"/>
                <w:sz w:val="16"/>
                <w:szCs w:val="18"/>
              </w:rPr>
            </w:pPr>
            <w:r>
              <w:rPr>
                <w:rFonts w:ascii="Calibri" w:hAnsi="Calibri"/>
                <w:sz w:val="16"/>
                <w:szCs w:val="18"/>
              </w:rPr>
              <w:t>x</w:t>
            </w:r>
          </w:p>
        </w:tc>
        <w:tc>
          <w:tcPr>
            <w:tcW w:w="236"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Animal Sci/EATM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2A76EF8B" w:rsidR="00817160" w:rsidRPr="009359EA" w:rsidRDefault="00BD2D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73CD402F" w:rsidR="00817160" w:rsidRPr="009359EA" w:rsidRDefault="00BD2D18" w:rsidP="00F74C72">
            <w:pPr>
              <w:rPr>
                <w:rFonts w:ascii="Calibri" w:hAnsi="Calibri" w:cs="Arial"/>
                <w:sz w:val="16"/>
                <w:szCs w:val="18"/>
              </w:rPr>
            </w:pPr>
            <w:r>
              <w:rPr>
                <w:rFonts w:ascii="Calibri" w:hAnsi="Calibri" w:cs="Arial"/>
                <w:sz w:val="16"/>
                <w:szCs w:val="18"/>
              </w:rPr>
              <w:t>x</w:t>
            </w:r>
          </w:p>
        </w:tc>
      </w:tr>
      <w:tr w:rsidR="00817160" w:rsidRPr="009359EA" w14:paraId="03166D0E" w14:textId="7C097B04" w:rsidTr="009942B5">
        <w:trPr>
          <w:trHeight w:val="215"/>
        </w:trPr>
        <w:tc>
          <w:tcPr>
            <w:tcW w:w="1800"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0"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718"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236"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2424309B" w:rsidR="00817160" w:rsidRPr="009359EA" w:rsidRDefault="00BD2D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6A3E5199" w:rsidR="00817160" w:rsidRPr="009359EA" w:rsidRDefault="00BD2D18" w:rsidP="00F74C72">
            <w:pPr>
              <w:rPr>
                <w:rFonts w:ascii="Calibri" w:hAnsi="Calibri" w:cs="Arial"/>
                <w:sz w:val="16"/>
                <w:szCs w:val="18"/>
              </w:rPr>
            </w:pPr>
            <w:r>
              <w:rPr>
                <w:rFonts w:ascii="Calibri" w:hAnsi="Calibri" w:cs="Arial"/>
                <w:sz w:val="16"/>
                <w:szCs w:val="18"/>
              </w:rPr>
              <w:t>x</w:t>
            </w:r>
          </w:p>
        </w:tc>
      </w:tr>
      <w:tr w:rsidR="00817160" w:rsidRPr="009359EA" w14:paraId="3DA33FA2" w14:textId="0C33802F" w:rsidTr="009942B5">
        <w:trPr>
          <w:trHeight w:val="215"/>
        </w:trPr>
        <w:tc>
          <w:tcPr>
            <w:tcW w:w="1800"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0"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718" w:type="dxa"/>
            <w:shd w:val="clear" w:color="auto" w:fill="auto"/>
            <w:vAlign w:val="center"/>
          </w:tcPr>
          <w:p w14:paraId="5E4978E5" w14:textId="0F76AFA2" w:rsidR="00817160" w:rsidRPr="009359EA" w:rsidRDefault="00EA0D70" w:rsidP="00F74C72">
            <w:pPr>
              <w:rPr>
                <w:rFonts w:ascii="Calibri" w:hAnsi="Calibri"/>
                <w:sz w:val="16"/>
                <w:szCs w:val="18"/>
              </w:rPr>
            </w:pPr>
            <w:r>
              <w:rPr>
                <w:rFonts w:ascii="Calibri" w:hAnsi="Calibri"/>
                <w:sz w:val="16"/>
                <w:szCs w:val="18"/>
              </w:rPr>
              <w:t>x</w:t>
            </w:r>
          </w:p>
        </w:tc>
        <w:tc>
          <w:tcPr>
            <w:tcW w:w="236"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Behavioral Sci</w:t>
            </w:r>
          </w:p>
        </w:tc>
        <w:tc>
          <w:tcPr>
            <w:tcW w:w="2247" w:type="dxa"/>
            <w:shd w:val="clear" w:color="auto" w:fill="auto"/>
            <w:vAlign w:val="center"/>
          </w:tcPr>
          <w:p w14:paraId="7C0CB901" w14:textId="625A29CD" w:rsidR="00817160" w:rsidRPr="009359EA" w:rsidRDefault="006C1F8D" w:rsidP="00F74C72">
            <w:pPr>
              <w:rPr>
                <w:rFonts w:ascii="Calibri" w:hAnsi="Calibri"/>
                <w:sz w:val="16"/>
                <w:szCs w:val="18"/>
              </w:rPr>
            </w:pPr>
            <w:r>
              <w:rPr>
                <w:rFonts w:ascii="Calibri" w:hAnsi="Calibri"/>
                <w:sz w:val="16"/>
                <w:szCs w:val="18"/>
              </w:rPr>
              <w:t xml:space="preserve">Chad Basile / </w:t>
            </w:r>
            <w:r w:rsidR="00817160">
              <w:rPr>
                <w:rFonts w:ascii="Calibri" w:hAnsi="Calibri"/>
                <w:sz w:val="16"/>
                <w:szCs w:val="18"/>
              </w:rPr>
              <w:t>Dani Vieira</w:t>
            </w:r>
          </w:p>
        </w:tc>
        <w:tc>
          <w:tcPr>
            <w:tcW w:w="720" w:type="dxa"/>
            <w:shd w:val="clear" w:color="auto" w:fill="auto"/>
            <w:vAlign w:val="center"/>
          </w:tcPr>
          <w:p w14:paraId="0F225965" w14:textId="2493A873" w:rsidR="00817160" w:rsidRPr="009359EA" w:rsidRDefault="00EA0D70" w:rsidP="00F74C72">
            <w:pPr>
              <w:rPr>
                <w:rFonts w:ascii="Calibri" w:hAnsi="Calibri"/>
                <w:sz w:val="16"/>
                <w:szCs w:val="18"/>
              </w:rPr>
            </w:pPr>
            <w:r>
              <w:rPr>
                <w:rFonts w:ascii="Calibri" w:hAnsi="Calibri"/>
                <w:sz w:val="16"/>
                <w:szCs w:val="18"/>
              </w:rPr>
              <w:t>CB</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2FD06EFB" w:rsidR="00817160" w:rsidRPr="009359EA" w:rsidRDefault="00BD2D18" w:rsidP="00F74C72">
            <w:pPr>
              <w:rPr>
                <w:rFonts w:ascii="Calibri" w:hAnsi="Calibri" w:cs="Arial"/>
                <w:sz w:val="16"/>
                <w:szCs w:val="18"/>
              </w:rPr>
            </w:pPr>
            <w:r>
              <w:rPr>
                <w:rFonts w:ascii="Calibri" w:hAnsi="Calibri" w:cs="Arial"/>
                <w:sz w:val="16"/>
                <w:szCs w:val="18"/>
              </w:rPr>
              <w:t>x</w:t>
            </w:r>
          </w:p>
        </w:tc>
      </w:tr>
      <w:tr w:rsidR="00817160" w:rsidRPr="009359EA" w14:paraId="45282C5F" w14:textId="59343425" w:rsidTr="009942B5">
        <w:trPr>
          <w:trHeight w:val="215"/>
        </w:trPr>
        <w:tc>
          <w:tcPr>
            <w:tcW w:w="1800"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0" w:type="dxa"/>
            <w:shd w:val="clear" w:color="auto" w:fill="auto"/>
            <w:vAlign w:val="center"/>
          </w:tcPr>
          <w:p w14:paraId="6738A1C8" w14:textId="4899CBA9" w:rsidR="00817160" w:rsidRPr="009359EA" w:rsidRDefault="00817160" w:rsidP="00F74C72">
            <w:pPr>
              <w:rPr>
                <w:rFonts w:ascii="Calibri" w:hAnsi="Calibri"/>
                <w:sz w:val="16"/>
                <w:szCs w:val="18"/>
              </w:rPr>
            </w:pPr>
            <w:r>
              <w:rPr>
                <w:rFonts w:ascii="Calibri" w:hAnsi="Calibri"/>
                <w:sz w:val="16"/>
                <w:szCs w:val="18"/>
              </w:rPr>
              <w:t>Nenagh Brown</w:t>
            </w:r>
          </w:p>
        </w:tc>
        <w:tc>
          <w:tcPr>
            <w:tcW w:w="718" w:type="dxa"/>
            <w:shd w:val="clear" w:color="auto" w:fill="auto"/>
            <w:vAlign w:val="center"/>
          </w:tcPr>
          <w:p w14:paraId="02A350B3" w14:textId="5357E4C5" w:rsidR="00817160" w:rsidRPr="009359EA" w:rsidRDefault="00BD2D18" w:rsidP="00F74C72">
            <w:pPr>
              <w:rPr>
                <w:rFonts w:ascii="Calibri" w:hAnsi="Calibri"/>
                <w:sz w:val="16"/>
                <w:szCs w:val="18"/>
              </w:rPr>
            </w:pPr>
            <w:r>
              <w:rPr>
                <w:rFonts w:ascii="Calibri" w:hAnsi="Calibri"/>
                <w:sz w:val="16"/>
                <w:szCs w:val="18"/>
              </w:rPr>
              <w:t>x</w:t>
            </w:r>
          </w:p>
        </w:tc>
        <w:tc>
          <w:tcPr>
            <w:tcW w:w="236"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573C81F0" w:rsidR="00817160" w:rsidRPr="009359EA" w:rsidRDefault="00EA0D70"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942B5">
        <w:trPr>
          <w:trHeight w:val="215"/>
        </w:trPr>
        <w:tc>
          <w:tcPr>
            <w:tcW w:w="1800"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718" w:type="dxa"/>
            <w:shd w:val="clear" w:color="auto" w:fill="auto"/>
            <w:vAlign w:val="center"/>
          </w:tcPr>
          <w:p w14:paraId="7F790DFB" w14:textId="00F5089B" w:rsidR="00817160" w:rsidRPr="009359EA" w:rsidRDefault="00BD2D18" w:rsidP="00F74C72">
            <w:pPr>
              <w:rPr>
                <w:rFonts w:ascii="Calibri" w:hAnsi="Calibri"/>
                <w:sz w:val="16"/>
                <w:szCs w:val="18"/>
              </w:rPr>
            </w:pPr>
            <w:r>
              <w:rPr>
                <w:rFonts w:ascii="Calibri" w:hAnsi="Calibri"/>
                <w:sz w:val="16"/>
                <w:szCs w:val="18"/>
              </w:rPr>
              <w:t>x</w:t>
            </w:r>
          </w:p>
        </w:tc>
        <w:tc>
          <w:tcPr>
            <w:tcW w:w="236"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Chemistry/Earth Sci</w:t>
            </w:r>
          </w:p>
        </w:tc>
        <w:tc>
          <w:tcPr>
            <w:tcW w:w="2247" w:type="dxa"/>
            <w:shd w:val="clear" w:color="auto" w:fill="auto"/>
            <w:vAlign w:val="center"/>
          </w:tcPr>
          <w:p w14:paraId="43020AB1" w14:textId="1D5E0DB2" w:rsidR="00817160" w:rsidRPr="009359EA" w:rsidRDefault="002D0994" w:rsidP="00F74C72">
            <w:pPr>
              <w:rPr>
                <w:rFonts w:ascii="Calibri" w:hAnsi="Calibri"/>
                <w:sz w:val="16"/>
                <w:szCs w:val="18"/>
              </w:rPr>
            </w:pPr>
            <w:r>
              <w:rPr>
                <w:rFonts w:ascii="Calibri" w:hAnsi="Calibri"/>
                <w:sz w:val="16"/>
                <w:szCs w:val="18"/>
              </w:rPr>
              <w:t>Roger Putnam</w:t>
            </w:r>
            <w:r w:rsidR="00BD2D18">
              <w:rPr>
                <w:rFonts w:ascii="Calibri" w:hAnsi="Calibri"/>
                <w:sz w:val="16"/>
                <w:szCs w:val="18"/>
              </w:rPr>
              <w:t xml:space="preserve"> / Rob </w:t>
            </w:r>
            <w:proofErr w:type="spellStart"/>
            <w:r w:rsidR="00BD2D18">
              <w:rPr>
                <w:rFonts w:ascii="Calibri" w:hAnsi="Calibri"/>
                <w:sz w:val="16"/>
                <w:szCs w:val="18"/>
              </w:rPr>
              <w:t>Keil</w:t>
            </w:r>
            <w:proofErr w:type="spellEnd"/>
          </w:p>
        </w:tc>
        <w:tc>
          <w:tcPr>
            <w:tcW w:w="720" w:type="dxa"/>
            <w:shd w:val="clear" w:color="auto" w:fill="auto"/>
            <w:vAlign w:val="center"/>
          </w:tcPr>
          <w:p w14:paraId="4061000B" w14:textId="03EB966A" w:rsidR="00817160" w:rsidRPr="009359EA" w:rsidRDefault="00BD2D18" w:rsidP="00F74C72">
            <w:pPr>
              <w:rPr>
                <w:rFonts w:ascii="Calibri" w:hAnsi="Calibri"/>
                <w:sz w:val="16"/>
                <w:szCs w:val="18"/>
              </w:rPr>
            </w:pPr>
            <w:r>
              <w:rPr>
                <w:rFonts w:ascii="Calibri" w:hAnsi="Calibri"/>
                <w:sz w:val="16"/>
                <w:szCs w:val="18"/>
              </w:rPr>
              <w:t>RP / RK</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942B5">
        <w:trPr>
          <w:trHeight w:val="215"/>
        </w:trPr>
        <w:tc>
          <w:tcPr>
            <w:tcW w:w="1800"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718" w:type="dxa"/>
            <w:shd w:val="clear" w:color="auto" w:fill="auto"/>
            <w:vAlign w:val="center"/>
          </w:tcPr>
          <w:p w14:paraId="62060F07" w14:textId="2D6CADE3" w:rsidR="00817160" w:rsidRPr="009359EA" w:rsidRDefault="006C10B2" w:rsidP="00F74C72">
            <w:pPr>
              <w:rPr>
                <w:rFonts w:ascii="Calibri" w:hAnsi="Calibri"/>
                <w:sz w:val="16"/>
                <w:szCs w:val="18"/>
              </w:rPr>
            </w:pPr>
            <w:r>
              <w:rPr>
                <w:rFonts w:ascii="Calibri" w:hAnsi="Calibri"/>
                <w:sz w:val="16"/>
                <w:szCs w:val="18"/>
              </w:rPr>
              <w:t>x</w:t>
            </w:r>
          </w:p>
        </w:tc>
        <w:tc>
          <w:tcPr>
            <w:tcW w:w="236"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Child Dev</w:t>
            </w:r>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942B5">
        <w:trPr>
          <w:trHeight w:val="215"/>
        </w:trPr>
        <w:tc>
          <w:tcPr>
            <w:tcW w:w="1800"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718"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236"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1B8DAAC5" w:rsidR="00817160" w:rsidRPr="009359EA" w:rsidRDefault="00BD2D18" w:rsidP="00F74C72">
            <w:pPr>
              <w:rPr>
                <w:rFonts w:ascii="Calibri" w:hAnsi="Calibri"/>
                <w:sz w:val="16"/>
                <w:szCs w:val="18"/>
              </w:rPr>
            </w:pPr>
            <w:r>
              <w:rPr>
                <w:rFonts w:ascii="Calibri" w:hAnsi="Calibri"/>
                <w:sz w:val="16"/>
                <w:szCs w:val="18"/>
              </w:rPr>
              <w:t>Jodi Dickey</w:t>
            </w:r>
          </w:p>
        </w:tc>
        <w:tc>
          <w:tcPr>
            <w:tcW w:w="720" w:type="dxa"/>
            <w:shd w:val="clear" w:color="auto" w:fill="auto"/>
            <w:vAlign w:val="center"/>
          </w:tcPr>
          <w:p w14:paraId="139A349E" w14:textId="1FED8AC3" w:rsidR="00817160" w:rsidRPr="009359EA" w:rsidRDefault="00BD2D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942B5">
        <w:trPr>
          <w:trHeight w:val="215"/>
        </w:trPr>
        <w:tc>
          <w:tcPr>
            <w:tcW w:w="1800"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2FB80309" w14:textId="35FAC33C" w:rsidR="00817160" w:rsidRPr="009359EA" w:rsidRDefault="00627F29" w:rsidP="00F74C72">
            <w:pPr>
              <w:rPr>
                <w:rFonts w:ascii="Calibri" w:hAnsi="Calibri"/>
                <w:sz w:val="16"/>
                <w:szCs w:val="18"/>
              </w:rPr>
            </w:pPr>
            <w:r>
              <w:rPr>
                <w:rFonts w:ascii="Calibri" w:hAnsi="Calibri"/>
                <w:sz w:val="16"/>
                <w:szCs w:val="18"/>
              </w:rPr>
              <w:t>Traci Allen</w:t>
            </w:r>
          </w:p>
        </w:tc>
        <w:tc>
          <w:tcPr>
            <w:tcW w:w="718" w:type="dxa"/>
            <w:shd w:val="clear" w:color="auto" w:fill="auto"/>
            <w:vAlign w:val="center"/>
          </w:tcPr>
          <w:p w14:paraId="41594D55" w14:textId="3B95E814" w:rsidR="00817160" w:rsidRPr="009359EA" w:rsidRDefault="00BD2D18" w:rsidP="00F74C72">
            <w:pPr>
              <w:rPr>
                <w:rFonts w:ascii="Calibri" w:hAnsi="Calibri"/>
                <w:sz w:val="16"/>
                <w:szCs w:val="18"/>
              </w:rPr>
            </w:pPr>
            <w:r>
              <w:rPr>
                <w:rFonts w:ascii="Calibri" w:hAnsi="Calibri"/>
                <w:sz w:val="16"/>
                <w:szCs w:val="18"/>
              </w:rPr>
              <w:t>x</w:t>
            </w:r>
          </w:p>
        </w:tc>
        <w:tc>
          <w:tcPr>
            <w:tcW w:w="236"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942B5">
        <w:trPr>
          <w:trHeight w:val="215"/>
        </w:trPr>
        <w:tc>
          <w:tcPr>
            <w:tcW w:w="1800"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718"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236"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Fine/Perf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01FD672C" w:rsidR="00817160" w:rsidRPr="009359EA" w:rsidRDefault="00817160" w:rsidP="00F74C72">
            <w:pPr>
              <w:rPr>
                <w:rFonts w:ascii="Calibri" w:hAnsi="Calibri" w:cs="Arial"/>
                <w:sz w:val="16"/>
                <w:szCs w:val="18"/>
              </w:rPr>
            </w:pPr>
          </w:p>
        </w:tc>
      </w:tr>
      <w:tr w:rsidR="00817160" w:rsidRPr="009359EA" w14:paraId="48EE054E" w14:textId="3C7F2CEF" w:rsidTr="009942B5">
        <w:trPr>
          <w:trHeight w:val="215"/>
        </w:trPr>
        <w:tc>
          <w:tcPr>
            <w:tcW w:w="1800"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718" w:type="dxa"/>
            <w:shd w:val="clear" w:color="auto" w:fill="auto"/>
            <w:vAlign w:val="center"/>
          </w:tcPr>
          <w:p w14:paraId="037A33A4" w14:textId="3B43A70F" w:rsidR="00817160" w:rsidRPr="009359EA" w:rsidRDefault="006C10B2" w:rsidP="00F74C72">
            <w:pPr>
              <w:rPr>
                <w:rFonts w:ascii="Calibri" w:hAnsi="Calibri"/>
                <w:sz w:val="16"/>
                <w:szCs w:val="18"/>
              </w:rPr>
            </w:pPr>
            <w:r>
              <w:rPr>
                <w:rFonts w:ascii="Calibri" w:hAnsi="Calibri"/>
                <w:sz w:val="16"/>
                <w:szCs w:val="18"/>
              </w:rPr>
              <w:t>x</w:t>
            </w:r>
          </w:p>
        </w:tc>
        <w:tc>
          <w:tcPr>
            <w:tcW w:w="236"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1B696295" w:rsidR="00817160" w:rsidRPr="009359EA" w:rsidRDefault="00BD2D1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942B5">
        <w:trPr>
          <w:trHeight w:val="215"/>
        </w:trPr>
        <w:tc>
          <w:tcPr>
            <w:tcW w:w="1800"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0" w:type="dxa"/>
            <w:shd w:val="clear" w:color="auto" w:fill="auto"/>
            <w:vAlign w:val="center"/>
          </w:tcPr>
          <w:p w14:paraId="4F7CB9FA" w14:textId="482F07A7" w:rsidR="00817160" w:rsidRPr="009359EA" w:rsidRDefault="00627F29" w:rsidP="00F74C72">
            <w:pPr>
              <w:rPr>
                <w:rFonts w:ascii="Calibri" w:hAnsi="Calibri"/>
                <w:sz w:val="16"/>
                <w:szCs w:val="18"/>
              </w:rPr>
            </w:pPr>
            <w:r>
              <w:rPr>
                <w:rFonts w:ascii="Calibri" w:hAnsi="Calibri"/>
                <w:sz w:val="16"/>
                <w:szCs w:val="18"/>
              </w:rPr>
              <w:t xml:space="preserve">Sam </w:t>
            </w:r>
            <w:proofErr w:type="spellStart"/>
            <w:r>
              <w:rPr>
                <w:rFonts w:ascii="Calibri" w:hAnsi="Calibri"/>
                <w:sz w:val="16"/>
                <w:szCs w:val="18"/>
              </w:rPr>
              <w:t>Lingrosso</w:t>
            </w:r>
            <w:proofErr w:type="spellEnd"/>
          </w:p>
        </w:tc>
        <w:tc>
          <w:tcPr>
            <w:tcW w:w="718" w:type="dxa"/>
            <w:shd w:val="clear" w:color="auto" w:fill="auto"/>
            <w:vAlign w:val="center"/>
          </w:tcPr>
          <w:p w14:paraId="7EF77E03" w14:textId="24DD0024" w:rsidR="00817160" w:rsidRPr="009359EA" w:rsidRDefault="00BD2D18" w:rsidP="00F74C72">
            <w:pPr>
              <w:rPr>
                <w:rFonts w:ascii="Calibri" w:hAnsi="Calibri"/>
                <w:sz w:val="16"/>
                <w:szCs w:val="18"/>
              </w:rPr>
            </w:pPr>
            <w:r>
              <w:rPr>
                <w:rFonts w:ascii="Calibri" w:hAnsi="Calibri"/>
                <w:sz w:val="16"/>
                <w:szCs w:val="18"/>
              </w:rPr>
              <w:t>x</w:t>
            </w:r>
          </w:p>
        </w:tc>
        <w:tc>
          <w:tcPr>
            <w:tcW w:w="236"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942B5">
        <w:trPr>
          <w:trHeight w:val="215"/>
        </w:trPr>
        <w:tc>
          <w:tcPr>
            <w:tcW w:w="1800"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0"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718"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236"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5CDB62F5" w14:textId="5681629F" w:rsidR="006E0060" w:rsidRDefault="006E0060" w:rsidP="00F20535">
            <w:pPr>
              <w:rPr>
                <w:rFonts w:ascii="Calibri" w:hAnsi="Calibri"/>
                <w:sz w:val="16"/>
                <w:szCs w:val="12"/>
              </w:rPr>
            </w:pPr>
            <w:r w:rsidRPr="006E0060">
              <w:rPr>
                <w:rFonts w:ascii="Calibri" w:hAnsi="Calibri"/>
                <w:sz w:val="16"/>
                <w:szCs w:val="12"/>
              </w:rPr>
              <w:lastRenderedPageBreak/>
              <w:t xml:space="preserve">Educational Master </w:t>
            </w:r>
            <w:proofErr w:type="spellStart"/>
            <w:r w:rsidRPr="006E0060">
              <w:rPr>
                <w:rFonts w:ascii="Calibri" w:hAnsi="Calibri"/>
                <w:sz w:val="16"/>
                <w:szCs w:val="12"/>
              </w:rPr>
              <w:t>Plan_draft</w:t>
            </w:r>
            <w:proofErr w:type="spellEnd"/>
            <w:r w:rsidRPr="006E0060">
              <w:rPr>
                <w:rFonts w:ascii="Calibri" w:hAnsi="Calibri"/>
                <w:sz w:val="16"/>
                <w:szCs w:val="12"/>
              </w:rPr>
              <w:t xml:space="preserve"> 2019-04-19</w:t>
            </w:r>
          </w:p>
          <w:p w14:paraId="79DFBB60" w14:textId="77777777" w:rsidR="00B03C11" w:rsidRDefault="006E0060" w:rsidP="00F20535">
            <w:pPr>
              <w:rPr>
                <w:rFonts w:ascii="Calibri" w:hAnsi="Calibri"/>
                <w:sz w:val="16"/>
                <w:szCs w:val="12"/>
              </w:rPr>
            </w:pPr>
            <w:r w:rsidRPr="006E0060">
              <w:rPr>
                <w:rFonts w:ascii="Calibri" w:hAnsi="Calibri"/>
                <w:sz w:val="16"/>
                <w:szCs w:val="12"/>
              </w:rPr>
              <w:t xml:space="preserve">Appendix A-How Goals Were </w:t>
            </w:r>
            <w:proofErr w:type="spellStart"/>
            <w:r w:rsidRPr="006E0060">
              <w:rPr>
                <w:rFonts w:ascii="Calibri" w:hAnsi="Calibri"/>
                <w:sz w:val="16"/>
                <w:szCs w:val="12"/>
              </w:rPr>
              <w:t>Set_draft</w:t>
            </w:r>
            <w:proofErr w:type="spellEnd"/>
            <w:r w:rsidRPr="006E0060">
              <w:rPr>
                <w:rFonts w:ascii="Calibri" w:hAnsi="Calibri"/>
                <w:sz w:val="16"/>
                <w:szCs w:val="12"/>
              </w:rPr>
              <w:t xml:space="preserve"> 2019-04-19</w:t>
            </w:r>
          </w:p>
          <w:p w14:paraId="3CB14B59" w14:textId="77777777" w:rsidR="006E0060" w:rsidRPr="00266B03" w:rsidRDefault="006E0060" w:rsidP="00F20535">
            <w:pPr>
              <w:rPr>
                <w:rFonts w:ascii="Calibri" w:hAnsi="Calibri"/>
                <w:sz w:val="16"/>
                <w:szCs w:val="12"/>
                <w:lang w:val="fr-FR"/>
              </w:rPr>
            </w:pPr>
            <w:proofErr w:type="spellStart"/>
            <w:r w:rsidRPr="00266B03">
              <w:rPr>
                <w:rFonts w:ascii="Calibri" w:hAnsi="Calibri"/>
                <w:sz w:val="16"/>
                <w:szCs w:val="12"/>
                <w:lang w:val="fr-FR"/>
              </w:rPr>
              <w:t>Appendix</w:t>
            </w:r>
            <w:proofErr w:type="spellEnd"/>
            <w:r w:rsidRPr="00266B03">
              <w:rPr>
                <w:rFonts w:ascii="Calibri" w:hAnsi="Calibri"/>
                <w:sz w:val="16"/>
                <w:szCs w:val="12"/>
                <w:lang w:val="fr-FR"/>
              </w:rPr>
              <w:t xml:space="preserve"> B-</w:t>
            </w:r>
            <w:proofErr w:type="spellStart"/>
            <w:r w:rsidRPr="00266B03">
              <w:rPr>
                <w:rFonts w:ascii="Calibri" w:hAnsi="Calibri"/>
                <w:sz w:val="16"/>
                <w:szCs w:val="12"/>
                <w:lang w:val="fr-FR"/>
              </w:rPr>
              <w:t>Environmental</w:t>
            </w:r>
            <w:proofErr w:type="spellEnd"/>
            <w:r w:rsidRPr="00266B03">
              <w:rPr>
                <w:rFonts w:ascii="Calibri" w:hAnsi="Calibri"/>
                <w:sz w:val="16"/>
                <w:szCs w:val="12"/>
                <w:lang w:val="fr-FR"/>
              </w:rPr>
              <w:t xml:space="preserve"> </w:t>
            </w:r>
            <w:proofErr w:type="spellStart"/>
            <w:r w:rsidRPr="00266B03">
              <w:rPr>
                <w:rFonts w:ascii="Calibri" w:hAnsi="Calibri"/>
                <w:sz w:val="16"/>
                <w:szCs w:val="12"/>
                <w:lang w:val="fr-FR"/>
              </w:rPr>
              <w:t>scan_draft</w:t>
            </w:r>
            <w:proofErr w:type="spellEnd"/>
            <w:r w:rsidRPr="00266B03">
              <w:rPr>
                <w:rFonts w:ascii="Calibri" w:hAnsi="Calibri"/>
                <w:sz w:val="16"/>
                <w:szCs w:val="12"/>
                <w:lang w:val="fr-FR"/>
              </w:rPr>
              <w:t xml:space="preserve"> 2019-04-02</w:t>
            </w:r>
          </w:p>
          <w:p w14:paraId="7C8BA9BE" w14:textId="77777777" w:rsidR="006E0060" w:rsidRDefault="006E0060" w:rsidP="00F20535">
            <w:pPr>
              <w:rPr>
                <w:rFonts w:ascii="Calibri" w:hAnsi="Calibri"/>
                <w:sz w:val="16"/>
                <w:szCs w:val="12"/>
              </w:rPr>
            </w:pPr>
            <w:r w:rsidRPr="006E0060">
              <w:rPr>
                <w:rFonts w:ascii="Calibri" w:hAnsi="Calibri"/>
                <w:sz w:val="16"/>
                <w:szCs w:val="12"/>
              </w:rPr>
              <w:t>Mission_Vision_Values_04.19.2019</w:t>
            </w:r>
          </w:p>
          <w:p w14:paraId="314E4AF7" w14:textId="020E852E" w:rsidR="006E0060" w:rsidRDefault="006E0060" w:rsidP="00F20535">
            <w:pPr>
              <w:rPr>
                <w:rFonts w:ascii="Calibri" w:hAnsi="Calibri"/>
                <w:sz w:val="16"/>
                <w:szCs w:val="12"/>
              </w:rPr>
            </w:pPr>
            <w:r w:rsidRPr="006E0060">
              <w:rPr>
                <w:rFonts w:ascii="Calibri" w:hAnsi="Calibri"/>
                <w:sz w:val="16"/>
                <w:szCs w:val="12"/>
              </w:rPr>
              <w:t xml:space="preserve">Vision for </w:t>
            </w:r>
            <w:proofErr w:type="spellStart"/>
            <w:r w:rsidRPr="006E0060">
              <w:rPr>
                <w:rFonts w:ascii="Calibri" w:hAnsi="Calibri"/>
                <w:sz w:val="16"/>
                <w:szCs w:val="12"/>
              </w:rPr>
              <w:t>Success_from</w:t>
            </w:r>
            <w:proofErr w:type="spellEnd"/>
            <w:r w:rsidRPr="006E0060">
              <w:rPr>
                <w:rFonts w:ascii="Calibri" w:hAnsi="Calibri"/>
                <w:sz w:val="16"/>
                <w:szCs w:val="12"/>
              </w:rPr>
              <w:t xml:space="preserve"> EMP</w:t>
            </w:r>
          </w:p>
          <w:p w14:paraId="380E6AAC" w14:textId="3047106F" w:rsidR="006E0060" w:rsidRPr="00F20535" w:rsidRDefault="006E0060" w:rsidP="00F20535">
            <w:pPr>
              <w:rPr>
                <w:rFonts w:ascii="Calibri" w:hAnsi="Calibri"/>
                <w:sz w:val="16"/>
                <w:szCs w:val="12"/>
              </w:rPr>
            </w:pPr>
            <w:r w:rsidRPr="006E0060">
              <w:rPr>
                <w:rFonts w:ascii="Calibri" w:hAnsi="Calibri"/>
                <w:sz w:val="16"/>
                <w:szCs w:val="12"/>
              </w:rPr>
              <w:t>Program Evaluations 2018-2019</w:t>
            </w: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42437866" w:rsidR="00C6283E" w:rsidRPr="003E27B6" w:rsidRDefault="00C6283E" w:rsidP="002B3723">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2B3723">
              <w:rPr>
                <w:rFonts w:ascii="Calibri" w:hAnsi="Calibri" w:cs="Verdana"/>
                <w:sz w:val="20"/>
                <w:szCs w:val="20"/>
              </w:rPr>
              <w:t>February 26, March 19</w:t>
            </w:r>
            <w:r w:rsidR="000F6BDA">
              <w:rPr>
                <w:rFonts w:ascii="Calibri" w:hAnsi="Calibri" w:cs="Verdana"/>
                <w:sz w:val="20"/>
                <w:szCs w:val="20"/>
              </w:rPr>
              <w:t xml:space="preserve"> </w:t>
            </w:r>
          </w:p>
        </w:tc>
        <w:tc>
          <w:tcPr>
            <w:tcW w:w="1950" w:type="pct"/>
          </w:tcPr>
          <w:p w14:paraId="79817D09" w14:textId="77777777" w:rsidR="00C6283E" w:rsidRDefault="00EA0D70" w:rsidP="00D64F4D">
            <w:pPr>
              <w:rPr>
                <w:rFonts w:ascii="Calibri" w:hAnsi="Calibri"/>
                <w:sz w:val="20"/>
                <w:szCs w:val="20"/>
              </w:rPr>
            </w:pPr>
            <w:r>
              <w:rPr>
                <w:rFonts w:ascii="Calibri" w:hAnsi="Calibri"/>
                <w:sz w:val="20"/>
                <w:szCs w:val="20"/>
              </w:rPr>
              <w:t xml:space="preserve">Public comments: we do not have a faculty co-chair for </w:t>
            </w:r>
            <w:proofErr w:type="spellStart"/>
            <w:r>
              <w:rPr>
                <w:rFonts w:ascii="Calibri" w:hAnsi="Calibri"/>
                <w:sz w:val="20"/>
                <w:szCs w:val="20"/>
              </w:rPr>
              <w:t>EdCAP</w:t>
            </w:r>
            <w:proofErr w:type="spellEnd"/>
            <w:r>
              <w:rPr>
                <w:rFonts w:ascii="Calibri" w:hAnsi="Calibri"/>
                <w:sz w:val="20"/>
                <w:szCs w:val="20"/>
              </w:rPr>
              <w:t xml:space="preserve"> next year.  Focus for the next two</w:t>
            </w:r>
            <w:r w:rsidR="00F248E2">
              <w:rPr>
                <w:rFonts w:ascii="Calibri" w:hAnsi="Calibri"/>
                <w:sz w:val="20"/>
                <w:szCs w:val="20"/>
              </w:rPr>
              <w:t xml:space="preserve"> years is the mid-term report.  It’s going to be highly productive and essential work.</w:t>
            </w:r>
          </w:p>
          <w:p w14:paraId="2C98C84F" w14:textId="4E2568E6" w:rsidR="00CA2181" w:rsidRPr="009359EA" w:rsidRDefault="00CA2181" w:rsidP="00D64F4D">
            <w:pPr>
              <w:rPr>
                <w:rFonts w:ascii="Calibri" w:hAnsi="Calibri"/>
                <w:sz w:val="20"/>
                <w:szCs w:val="20"/>
              </w:rPr>
            </w:pPr>
          </w:p>
        </w:tc>
        <w:tc>
          <w:tcPr>
            <w:tcW w:w="1109" w:type="pct"/>
          </w:tcPr>
          <w:p w14:paraId="4FA868E5" w14:textId="41BAB7F6" w:rsidR="00F5746B" w:rsidRDefault="00266B03" w:rsidP="00D64F4D">
            <w:pPr>
              <w:rPr>
                <w:rFonts w:ascii="Calibri" w:hAnsi="Calibri"/>
                <w:sz w:val="20"/>
                <w:szCs w:val="20"/>
              </w:rPr>
            </w:pPr>
            <w:r>
              <w:rPr>
                <w:rFonts w:ascii="Calibri" w:hAnsi="Calibri"/>
                <w:sz w:val="20"/>
                <w:szCs w:val="20"/>
              </w:rPr>
              <w:t xml:space="preserve">2/26/19 minutes approved, </w:t>
            </w:r>
            <w:r>
              <w:rPr>
                <w:rFonts w:ascii="Calibri" w:hAnsi="Calibri"/>
                <w:sz w:val="20"/>
                <w:szCs w:val="20"/>
              </w:rPr>
              <w:t>Sam, Rob, Sharon abstained</w:t>
            </w:r>
            <w:r>
              <w:rPr>
                <w:rFonts w:ascii="Calibri" w:hAnsi="Calibri"/>
                <w:sz w:val="20"/>
                <w:szCs w:val="20"/>
              </w:rPr>
              <w:t xml:space="preserve">; </w:t>
            </w:r>
          </w:p>
          <w:p w14:paraId="282F82D4" w14:textId="33303401" w:rsidR="00266B03" w:rsidRDefault="00266B03" w:rsidP="00D64F4D">
            <w:pPr>
              <w:rPr>
                <w:rFonts w:ascii="Calibri" w:hAnsi="Calibri"/>
                <w:sz w:val="20"/>
                <w:szCs w:val="20"/>
              </w:rPr>
            </w:pPr>
            <w:r>
              <w:rPr>
                <w:rFonts w:ascii="Calibri" w:hAnsi="Calibri"/>
                <w:sz w:val="20"/>
                <w:szCs w:val="20"/>
              </w:rPr>
              <w:t xml:space="preserve">3/19/19 minutes approved, </w:t>
            </w:r>
          </w:p>
          <w:p w14:paraId="7493EF4A" w14:textId="7A5889DE" w:rsidR="00CA2181" w:rsidRPr="009359EA" w:rsidRDefault="00CA2181" w:rsidP="00D64F4D">
            <w:pPr>
              <w:rPr>
                <w:rFonts w:ascii="Calibri" w:hAnsi="Calibri"/>
                <w:sz w:val="20"/>
                <w:szCs w:val="20"/>
              </w:rPr>
            </w:pPr>
            <w:r>
              <w:rPr>
                <w:rFonts w:ascii="Calibri" w:hAnsi="Calibri"/>
                <w:sz w:val="20"/>
                <w:szCs w:val="20"/>
              </w:rPr>
              <w:t xml:space="preserve">Sam, Cynthia, Sharon, Lee </w:t>
            </w:r>
            <w:r w:rsidR="00266B03">
              <w:rPr>
                <w:rFonts w:ascii="Calibri" w:hAnsi="Calibri"/>
                <w:sz w:val="20"/>
                <w:szCs w:val="20"/>
              </w:rPr>
              <w:t>abstained</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028CD43" w14:textId="2DB4B33D" w:rsidR="004A09F1" w:rsidRPr="006E0060" w:rsidRDefault="006E0060" w:rsidP="006E0060">
            <w:pPr>
              <w:pStyle w:val="ListParagraph"/>
              <w:numPr>
                <w:ilvl w:val="0"/>
                <w:numId w:val="30"/>
              </w:numPr>
              <w:autoSpaceDE w:val="0"/>
              <w:autoSpaceDN w:val="0"/>
              <w:adjustRightInd w:val="0"/>
              <w:rPr>
                <w:rFonts w:ascii="Calibri" w:hAnsi="Calibri" w:cs="Verdana"/>
                <w:color w:val="000000"/>
                <w:sz w:val="20"/>
                <w:szCs w:val="20"/>
              </w:rPr>
            </w:pPr>
            <w:r w:rsidRPr="006E0060">
              <w:rPr>
                <w:rFonts w:ascii="Calibri" w:hAnsi="Calibri" w:cs="Verdana"/>
                <w:color w:val="000000"/>
                <w:sz w:val="20"/>
                <w:szCs w:val="20"/>
              </w:rPr>
              <w:t xml:space="preserve">Program Plan report &amp; Cross-Disciplinary PP follow up </w:t>
            </w:r>
          </w:p>
          <w:p w14:paraId="68576A70" w14:textId="77777777" w:rsidR="004A09F1" w:rsidRDefault="006E0060" w:rsidP="006E0060">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Information Items:</w:t>
            </w:r>
          </w:p>
          <w:p w14:paraId="084CE60F" w14:textId="77777777" w:rsidR="006E0060" w:rsidRDefault="006E0060" w:rsidP="006E0060">
            <w:pPr>
              <w:pStyle w:val="ListParagraph"/>
              <w:numPr>
                <w:ilvl w:val="1"/>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for Success Metrics</w:t>
            </w:r>
          </w:p>
          <w:p w14:paraId="0A65A509" w14:textId="09753049" w:rsidR="006E0060" w:rsidRDefault="00CB144B" w:rsidP="006E0060">
            <w:pPr>
              <w:pStyle w:val="ListParagraph"/>
              <w:numPr>
                <w:ilvl w:val="1"/>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Institution-</w:t>
            </w:r>
            <w:r w:rsidR="006E0060">
              <w:rPr>
                <w:rFonts w:ascii="Calibri" w:hAnsi="Calibri" w:cs="Verdana"/>
                <w:color w:val="000000"/>
                <w:sz w:val="20"/>
                <w:szCs w:val="20"/>
              </w:rPr>
              <w:t>Set Standards</w:t>
            </w:r>
          </w:p>
          <w:p w14:paraId="52BCF04D" w14:textId="17F44533" w:rsidR="006E0060" w:rsidRDefault="006E0060" w:rsidP="006E0060">
            <w:pPr>
              <w:pStyle w:val="ListParagraph"/>
              <w:numPr>
                <w:ilvl w:val="1"/>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Annual Workplans (2018-19, 2019-20)</w:t>
            </w:r>
          </w:p>
          <w:p w14:paraId="7CB40CC2" w14:textId="7988E616" w:rsidR="004D4616" w:rsidRDefault="006E0060" w:rsidP="006E0060">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Goals and </w:t>
            </w:r>
            <w:r w:rsidR="00D95328">
              <w:rPr>
                <w:rFonts w:ascii="Calibri" w:hAnsi="Calibri" w:cs="Verdana"/>
                <w:color w:val="000000"/>
                <w:sz w:val="20"/>
                <w:szCs w:val="20"/>
              </w:rPr>
              <w:t>Accomplishments</w:t>
            </w:r>
          </w:p>
          <w:p w14:paraId="2851889C" w14:textId="2AEF461D" w:rsidR="002773BD" w:rsidRPr="00341511" w:rsidRDefault="006E0060" w:rsidP="006E0060">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Planning retreat debrief</w:t>
            </w:r>
          </w:p>
        </w:tc>
        <w:tc>
          <w:tcPr>
            <w:tcW w:w="1950" w:type="pct"/>
          </w:tcPr>
          <w:p w14:paraId="7D2B5DD6" w14:textId="77777777" w:rsidR="00705E14" w:rsidRDefault="00705E14" w:rsidP="00705E14">
            <w:pPr>
              <w:pStyle w:val="ListParagraph"/>
              <w:numPr>
                <w:ilvl w:val="0"/>
                <w:numId w:val="33"/>
              </w:numPr>
              <w:rPr>
                <w:rFonts w:asciiTheme="majorHAnsi" w:hAnsiTheme="majorHAnsi"/>
                <w:sz w:val="20"/>
                <w:szCs w:val="20"/>
              </w:rPr>
            </w:pPr>
            <w:r w:rsidRPr="00705E14">
              <w:rPr>
                <w:rFonts w:asciiTheme="majorHAnsi" w:hAnsiTheme="majorHAnsi"/>
                <w:sz w:val="20"/>
                <w:szCs w:val="20"/>
              </w:rPr>
              <w:t xml:space="preserve">23 </w:t>
            </w:r>
            <w:r>
              <w:rPr>
                <w:rFonts w:asciiTheme="majorHAnsi" w:hAnsiTheme="majorHAnsi"/>
                <w:sz w:val="20"/>
                <w:szCs w:val="20"/>
              </w:rPr>
              <w:t>programs were reviewed with the ‘Executive’ team of VPs, IE Dean, and AS President.  23 were rated as ‘strengthen the program’.  There are nuances: some desperately need resources, others that are doing really well that need resources to realize a fuller potential, and there are others that are doing fine and could certainly use resources.</w:t>
            </w:r>
            <w:r>
              <w:rPr>
                <w:rFonts w:asciiTheme="majorHAnsi" w:hAnsiTheme="majorHAnsi"/>
                <w:sz w:val="20"/>
                <w:szCs w:val="20"/>
              </w:rPr>
              <w:br/>
            </w:r>
            <w:r>
              <w:rPr>
                <w:rFonts w:asciiTheme="majorHAnsi" w:hAnsiTheme="majorHAnsi"/>
                <w:sz w:val="20"/>
                <w:szCs w:val="20"/>
              </w:rPr>
              <w:br/>
              <w:t xml:space="preserve">Lessons learned: </w:t>
            </w:r>
          </w:p>
          <w:p w14:paraId="007F6886" w14:textId="034B2EE2" w:rsidR="00705E14" w:rsidRDefault="00705E14" w:rsidP="00705E14">
            <w:pPr>
              <w:pStyle w:val="ListParagraph"/>
              <w:numPr>
                <w:ilvl w:val="0"/>
                <w:numId w:val="34"/>
              </w:numPr>
              <w:rPr>
                <w:rFonts w:asciiTheme="majorHAnsi" w:hAnsiTheme="majorHAnsi"/>
                <w:sz w:val="20"/>
                <w:szCs w:val="20"/>
              </w:rPr>
            </w:pPr>
            <w:r>
              <w:rPr>
                <w:rFonts w:asciiTheme="majorHAnsi" w:hAnsiTheme="majorHAnsi"/>
                <w:sz w:val="20"/>
                <w:szCs w:val="20"/>
              </w:rPr>
              <w:t>Continue to disaggregate data for achievement gaps</w:t>
            </w:r>
          </w:p>
          <w:p w14:paraId="769D222E" w14:textId="77777777" w:rsidR="00705E14" w:rsidRDefault="00705E14" w:rsidP="00705E14">
            <w:pPr>
              <w:pStyle w:val="ListParagraph"/>
              <w:numPr>
                <w:ilvl w:val="0"/>
                <w:numId w:val="34"/>
              </w:numPr>
              <w:rPr>
                <w:rFonts w:asciiTheme="majorHAnsi" w:hAnsiTheme="majorHAnsi"/>
                <w:sz w:val="20"/>
                <w:szCs w:val="20"/>
              </w:rPr>
            </w:pPr>
            <w:r>
              <w:rPr>
                <w:rFonts w:asciiTheme="majorHAnsi" w:hAnsiTheme="majorHAnsi"/>
                <w:sz w:val="20"/>
                <w:szCs w:val="20"/>
              </w:rPr>
              <w:t>Help programs connect strategic directions to resource allocations</w:t>
            </w:r>
          </w:p>
          <w:p w14:paraId="6795DEEC" w14:textId="77777777" w:rsidR="00705E14" w:rsidRDefault="00705E14" w:rsidP="00705E14">
            <w:pPr>
              <w:pStyle w:val="ListParagraph"/>
              <w:numPr>
                <w:ilvl w:val="0"/>
                <w:numId w:val="34"/>
              </w:numPr>
              <w:rPr>
                <w:rFonts w:asciiTheme="majorHAnsi" w:hAnsiTheme="majorHAnsi"/>
                <w:sz w:val="20"/>
                <w:szCs w:val="20"/>
              </w:rPr>
            </w:pPr>
            <w:r>
              <w:rPr>
                <w:rFonts w:asciiTheme="majorHAnsi" w:hAnsiTheme="majorHAnsi"/>
                <w:sz w:val="20"/>
                <w:szCs w:val="20"/>
              </w:rPr>
              <w:t>PP training sessions during FLEX</w:t>
            </w:r>
          </w:p>
          <w:p w14:paraId="452A7F79" w14:textId="77777777" w:rsidR="00705E14" w:rsidRDefault="00705E14" w:rsidP="00705E14">
            <w:pPr>
              <w:pStyle w:val="ListParagraph"/>
              <w:numPr>
                <w:ilvl w:val="0"/>
                <w:numId w:val="34"/>
              </w:numPr>
              <w:rPr>
                <w:rFonts w:asciiTheme="majorHAnsi" w:hAnsiTheme="majorHAnsi"/>
                <w:sz w:val="20"/>
                <w:szCs w:val="20"/>
              </w:rPr>
            </w:pPr>
            <w:r>
              <w:rPr>
                <w:rFonts w:asciiTheme="majorHAnsi" w:hAnsiTheme="majorHAnsi"/>
                <w:sz w:val="20"/>
                <w:szCs w:val="20"/>
              </w:rPr>
              <w:t>Continue 3-year cycle for next year</w:t>
            </w:r>
          </w:p>
          <w:p w14:paraId="643E6262" w14:textId="77777777" w:rsidR="00705E14" w:rsidRDefault="00705E14" w:rsidP="00705E14">
            <w:pPr>
              <w:pStyle w:val="ListParagraph"/>
              <w:numPr>
                <w:ilvl w:val="0"/>
                <w:numId w:val="34"/>
              </w:numPr>
              <w:rPr>
                <w:rFonts w:asciiTheme="majorHAnsi" w:hAnsiTheme="majorHAnsi"/>
                <w:sz w:val="20"/>
                <w:szCs w:val="20"/>
              </w:rPr>
            </w:pPr>
            <w:r>
              <w:rPr>
                <w:rFonts w:asciiTheme="majorHAnsi" w:hAnsiTheme="majorHAnsi"/>
                <w:sz w:val="20"/>
                <w:szCs w:val="20"/>
              </w:rPr>
              <w:t>Keep the 45m meeting allotment</w:t>
            </w:r>
          </w:p>
          <w:p w14:paraId="70A33FDA" w14:textId="77777777" w:rsidR="00705E14" w:rsidRDefault="00705E14" w:rsidP="00705E14">
            <w:pPr>
              <w:pStyle w:val="ListParagraph"/>
              <w:numPr>
                <w:ilvl w:val="0"/>
                <w:numId w:val="34"/>
              </w:numPr>
              <w:rPr>
                <w:rFonts w:asciiTheme="majorHAnsi" w:hAnsiTheme="majorHAnsi"/>
                <w:sz w:val="20"/>
                <w:szCs w:val="20"/>
              </w:rPr>
            </w:pPr>
            <w:r>
              <w:rPr>
                <w:rFonts w:asciiTheme="majorHAnsi" w:hAnsiTheme="majorHAnsi"/>
                <w:sz w:val="20"/>
                <w:szCs w:val="20"/>
              </w:rPr>
              <w:t>Keep current PP template</w:t>
            </w:r>
          </w:p>
          <w:p w14:paraId="3DE3043B" w14:textId="77777777" w:rsidR="00705E14" w:rsidRDefault="00705E14" w:rsidP="00705E14">
            <w:pPr>
              <w:pStyle w:val="ListParagraph"/>
              <w:numPr>
                <w:ilvl w:val="0"/>
                <w:numId w:val="34"/>
              </w:numPr>
              <w:rPr>
                <w:rFonts w:asciiTheme="majorHAnsi" w:hAnsiTheme="majorHAnsi"/>
                <w:sz w:val="20"/>
                <w:szCs w:val="20"/>
              </w:rPr>
            </w:pPr>
            <w:r>
              <w:rPr>
                <w:rFonts w:asciiTheme="majorHAnsi" w:hAnsiTheme="majorHAnsi"/>
                <w:sz w:val="20"/>
                <w:szCs w:val="20"/>
              </w:rPr>
              <w:t>Need to review timeline within an integrated planning approach</w:t>
            </w:r>
          </w:p>
          <w:p w14:paraId="6C608862" w14:textId="7B843C54" w:rsidR="00705E14" w:rsidRDefault="00705E14" w:rsidP="00705E14">
            <w:pPr>
              <w:pStyle w:val="ListParagraph"/>
              <w:numPr>
                <w:ilvl w:val="0"/>
                <w:numId w:val="34"/>
              </w:numPr>
              <w:rPr>
                <w:rFonts w:asciiTheme="majorHAnsi" w:hAnsiTheme="majorHAnsi"/>
                <w:sz w:val="20"/>
                <w:szCs w:val="20"/>
              </w:rPr>
            </w:pPr>
            <w:r>
              <w:rPr>
                <w:rFonts w:asciiTheme="majorHAnsi" w:hAnsiTheme="majorHAnsi"/>
                <w:sz w:val="20"/>
                <w:szCs w:val="20"/>
              </w:rPr>
              <w:lastRenderedPageBreak/>
              <w:t>Need to establish review process for programs that don’t have leadership planning meeting</w:t>
            </w:r>
            <w:r>
              <w:rPr>
                <w:rFonts w:asciiTheme="majorHAnsi" w:hAnsiTheme="majorHAnsi"/>
                <w:sz w:val="20"/>
                <w:szCs w:val="20"/>
              </w:rPr>
              <w:br/>
            </w:r>
            <w:r>
              <w:rPr>
                <w:rFonts w:asciiTheme="majorHAnsi" w:hAnsiTheme="majorHAnsi"/>
                <w:sz w:val="20"/>
                <w:szCs w:val="20"/>
              </w:rPr>
              <w:br/>
              <w:t>How many of these programs are automatic</w:t>
            </w:r>
            <w:r w:rsidR="00810F23">
              <w:rPr>
                <w:rFonts w:asciiTheme="majorHAnsi" w:hAnsiTheme="majorHAnsi"/>
                <w:sz w:val="20"/>
                <w:szCs w:val="20"/>
              </w:rPr>
              <w:t xml:space="preserve">ally part of next year?  Response: approx. 7. (about 1/3).  The program is asked whether they’d like to meet.  Does this create a snowball effect?  </w:t>
            </w:r>
            <w:r w:rsidR="00810F23">
              <w:rPr>
                <w:rFonts w:asciiTheme="majorHAnsi" w:hAnsiTheme="majorHAnsi"/>
                <w:sz w:val="20"/>
                <w:szCs w:val="20"/>
              </w:rPr>
              <w:br/>
            </w:r>
            <w:r w:rsidR="00810F23">
              <w:rPr>
                <w:rFonts w:asciiTheme="majorHAnsi" w:hAnsiTheme="majorHAnsi"/>
                <w:sz w:val="20"/>
                <w:szCs w:val="20"/>
              </w:rPr>
              <w:br/>
              <w:t>Could we get a list of who is going to be up for next semester before the semester ends?  Julius: yes.  Oleg can distribute.</w:t>
            </w:r>
            <w:r w:rsidR="00810F23">
              <w:rPr>
                <w:rFonts w:asciiTheme="majorHAnsi" w:hAnsiTheme="majorHAnsi"/>
                <w:sz w:val="20"/>
                <w:szCs w:val="20"/>
              </w:rPr>
              <w:br/>
            </w:r>
          </w:p>
          <w:p w14:paraId="12A0DE5A" w14:textId="0F023D98" w:rsidR="001701EB" w:rsidRDefault="00804F7D" w:rsidP="00643A68">
            <w:pPr>
              <w:pStyle w:val="ListParagraph"/>
              <w:numPr>
                <w:ilvl w:val="0"/>
                <w:numId w:val="33"/>
              </w:numPr>
              <w:rPr>
                <w:rFonts w:asciiTheme="majorHAnsi" w:hAnsiTheme="majorHAnsi"/>
                <w:sz w:val="20"/>
                <w:szCs w:val="20"/>
              </w:rPr>
            </w:pPr>
            <w:r>
              <w:rPr>
                <w:rFonts w:asciiTheme="majorHAnsi" w:hAnsiTheme="majorHAnsi"/>
                <w:sz w:val="20"/>
                <w:szCs w:val="20"/>
              </w:rPr>
              <w:t xml:space="preserve">a) </w:t>
            </w:r>
            <w:r w:rsidR="00810F23">
              <w:rPr>
                <w:rFonts w:asciiTheme="majorHAnsi" w:hAnsiTheme="majorHAnsi"/>
                <w:sz w:val="20"/>
                <w:szCs w:val="20"/>
              </w:rPr>
              <w:t xml:space="preserve">Vision for Success Metrics – at most recent ASC meeting this document was approved, but we present it here as an information item </w:t>
            </w:r>
            <w:proofErr w:type="gramStart"/>
            <w:r w:rsidR="00810F23">
              <w:rPr>
                <w:rFonts w:asciiTheme="majorHAnsi" w:hAnsiTheme="majorHAnsi"/>
                <w:sz w:val="20"/>
                <w:szCs w:val="20"/>
              </w:rPr>
              <w:t>especially</w:t>
            </w:r>
            <w:proofErr w:type="gramEnd"/>
            <w:r w:rsidR="00810F23">
              <w:rPr>
                <w:rFonts w:asciiTheme="majorHAnsi" w:hAnsiTheme="majorHAnsi"/>
                <w:sz w:val="20"/>
                <w:szCs w:val="20"/>
              </w:rPr>
              <w:t xml:space="preserve"> to highlight that the equity metrics don’t include enough populations that belong in this category.  This may be updated.</w:t>
            </w:r>
            <w:r w:rsidR="00B25A0E">
              <w:rPr>
                <w:rFonts w:asciiTheme="majorHAnsi" w:hAnsiTheme="majorHAnsi"/>
                <w:sz w:val="20"/>
                <w:szCs w:val="20"/>
              </w:rPr>
              <w:br/>
            </w:r>
            <w:r w:rsidR="00CB144B">
              <w:rPr>
                <w:rFonts w:asciiTheme="majorHAnsi" w:hAnsiTheme="majorHAnsi"/>
                <w:sz w:val="20"/>
                <w:szCs w:val="20"/>
              </w:rPr>
              <w:br/>
            </w:r>
            <w:r>
              <w:rPr>
                <w:rFonts w:asciiTheme="majorHAnsi" w:hAnsiTheme="majorHAnsi"/>
                <w:sz w:val="20"/>
                <w:szCs w:val="20"/>
              </w:rPr>
              <w:t xml:space="preserve">b) </w:t>
            </w:r>
            <w:r w:rsidR="00CB144B">
              <w:rPr>
                <w:rFonts w:asciiTheme="majorHAnsi" w:hAnsiTheme="majorHAnsi"/>
                <w:sz w:val="20"/>
                <w:szCs w:val="20"/>
              </w:rPr>
              <w:t>ACCJC Institution-</w:t>
            </w:r>
            <w:r w:rsidR="00810F23">
              <w:rPr>
                <w:rFonts w:asciiTheme="majorHAnsi" w:hAnsiTheme="majorHAnsi"/>
                <w:sz w:val="20"/>
                <w:szCs w:val="20"/>
              </w:rPr>
              <w:t xml:space="preserve">Set Standards – we </w:t>
            </w:r>
            <w:proofErr w:type="gramStart"/>
            <w:r w:rsidR="00810F23">
              <w:rPr>
                <w:rFonts w:asciiTheme="majorHAnsi" w:hAnsiTheme="majorHAnsi"/>
                <w:sz w:val="20"/>
                <w:szCs w:val="20"/>
              </w:rPr>
              <w:t>made a decision</w:t>
            </w:r>
            <w:proofErr w:type="gramEnd"/>
            <w:r w:rsidR="00810F23">
              <w:rPr>
                <w:rFonts w:asciiTheme="majorHAnsi" w:hAnsiTheme="majorHAnsi"/>
                <w:sz w:val="20"/>
                <w:szCs w:val="20"/>
              </w:rPr>
              <w:t xml:space="preserve"> to set them for three years and not change them, and we’re in year three.  Next year is going to be a big year because these metrics are very different from the Vision for Success Metrics.</w:t>
            </w:r>
            <w:r w:rsidR="00B25A0E">
              <w:rPr>
                <w:rFonts w:asciiTheme="majorHAnsi" w:hAnsiTheme="majorHAnsi"/>
                <w:sz w:val="20"/>
                <w:szCs w:val="20"/>
              </w:rPr>
              <w:t xml:space="preserve">  The only complication is that we didn’t get the fiscal information until the day before we had to vote on them.  ASC actually balked at doing this because the info came out too late.  It came back in the next meeting, in which it passed.  Senate has a charge over the annual report.</w:t>
            </w:r>
            <w:r w:rsidR="00810F23">
              <w:rPr>
                <w:rFonts w:asciiTheme="majorHAnsi" w:hAnsiTheme="majorHAnsi"/>
                <w:sz w:val="20"/>
                <w:szCs w:val="20"/>
              </w:rPr>
              <w:t xml:space="preserve"> </w:t>
            </w:r>
            <w:r w:rsidR="00B25A0E">
              <w:rPr>
                <w:rFonts w:asciiTheme="majorHAnsi" w:hAnsiTheme="majorHAnsi"/>
                <w:sz w:val="20"/>
                <w:szCs w:val="20"/>
              </w:rPr>
              <w:br/>
            </w:r>
            <w:r w:rsidR="00B25A0E">
              <w:rPr>
                <w:rFonts w:asciiTheme="majorHAnsi" w:hAnsiTheme="majorHAnsi"/>
                <w:sz w:val="20"/>
                <w:szCs w:val="20"/>
              </w:rPr>
              <w:br/>
            </w:r>
            <w:r>
              <w:rPr>
                <w:rFonts w:asciiTheme="majorHAnsi" w:hAnsiTheme="majorHAnsi"/>
                <w:sz w:val="20"/>
                <w:szCs w:val="20"/>
              </w:rPr>
              <w:lastRenderedPageBreak/>
              <w:t xml:space="preserve">c) </w:t>
            </w:r>
            <w:bookmarkStart w:id="0" w:name="_GoBack"/>
            <w:bookmarkEnd w:id="0"/>
            <w:r w:rsidR="00B25A0E">
              <w:rPr>
                <w:rFonts w:asciiTheme="majorHAnsi" w:hAnsiTheme="majorHAnsi"/>
                <w:sz w:val="20"/>
                <w:szCs w:val="20"/>
              </w:rPr>
              <w:t>Strategic Annual Workplans</w:t>
            </w:r>
            <w:r w:rsidR="00643A68">
              <w:rPr>
                <w:rFonts w:asciiTheme="majorHAnsi" w:hAnsiTheme="majorHAnsi"/>
                <w:sz w:val="20"/>
                <w:szCs w:val="20"/>
              </w:rPr>
              <w:br/>
              <w:t xml:space="preserve">Oleg will be in touch with about the current workplan </w:t>
            </w:r>
            <w:r w:rsidR="00643A68">
              <w:rPr>
                <w:rFonts w:asciiTheme="majorHAnsi" w:hAnsiTheme="majorHAnsi"/>
                <w:sz w:val="20"/>
                <w:szCs w:val="20"/>
              </w:rPr>
              <w:br/>
            </w:r>
            <w:r w:rsidR="00643A68">
              <w:rPr>
                <w:rFonts w:asciiTheme="majorHAnsi" w:hAnsiTheme="majorHAnsi"/>
                <w:sz w:val="20"/>
                <w:szCs w:val="20"/>
              </w:rPr>
              <w:br/>
              <w:t>It used to be that, if we weren’t working on the strategic plan, we’d do a workplan.  We’d find whatever wasn’t accomplished, and go about checking those boxes based on holes.  The other approach is to do it by goals.  Where do we want to spend our energies for the year?  We can go either way.</w:t>
            </w:r>
            <w:r w:rsidR="001701EB">
              <w:rPr>
                <w:rFonts w:asciiTheme="majorHAnsi" w:hAnsiTheme="majorHAnsi"/>
                <w:sz w:val="20"/>
                <w:szCs w:val="20"/>
              </w:rPr>
              <w:br/>
            </w:r>
          </w:p>
          <w:p w14:paraId="57585DD3" w14:textId="47359B0D" w:rsidR="001701EB" w:rsidRDefault="001701EB" w:rsidP="00643A68">
            <w:pPr>
              <w:pStyle w:val="ListParagraph"/>
              <w:numPr>
                <w:ilvl w:val="0"/>
                <w:numId w:val="33"/>
              </w:numPr>
              <w:rPr>
                <w:rFonts w:asciiTheme="majorHAnsi" w:hAnsiTheme="majorHAnsi"/>
                <w:sz w:val="20"/>
                <w:szCs w:val="20"/>
              </w:rPr>
            </w:pPr>
            <w:r>
              <w:rPr>
                <w:rFonts w:asciiTheme="majorHAnsi" w:hAnsiTheme="majorHAnsi"/>
                <w:sz w:val="20"/>
                <w:szCs w:val="20"/>
              </w:rPr>
              <w:t xml:space="preserve">We are getting closer to integrated planning through the use of the EMP.  A Decision Making Handbook.  The idea of putting Fiscal and </w:t>
            </w:r>
            <w:proofErr w:type="spellStart"/>
            <w:r>
              <w:rPr>
                <w:rFonts w:asciiTheme="majorHAnsi" w:hAnsiTheme="majorHAnsi"/>
                <w:sz w:val="20"/>
                <w:szCs w:val="20"/>
              </w:rPr>
              <w:t>EdCAP</w:t>
            </w:r>
            <w:proofErr w:type="spellEnd"/>
            <w:r>
              <w:rPr>
                <w:rFonts w:asciiTheme="majorHAnsi" w:hAnsiTheme="majorHAnsi"/>
                <w:sz w:val="20"/>
                <w:szCs w:val="20"/>
              </w:rPr>
              <w:t xml:space="preserve"> together, which was rejected.  Yet, we now do have an EMP.  So perhaps the issue is to include a question about how Fiscal aligns with EMP, and consequently EDCAP</w:t>
            </w:r>
            <w:r>
              <w:rPr>
                <w:rFonts w:asciiTheme="majorHAnsi" w:hAnsiTheme="majorHAnsi"/>
                <w:sz w:val="20"/>
                <w:szCs w:val="20"/>
              </w:rPr>
              <w:br/>
            </w:r>
          </w:p>
          <w:p w14:paraId="06553D10" w14:textId="74E7B3D5" w:rsidR="00705E14" w:rsidRPr="00643A68" w:rsidRDefault="001701EB" w:rsidP="00643A68">
            <w:pPr>
              <w:pStyle w:val="ListParagraph"/>
              <w:numPr>
                <w:ilvl w:val="0"/>
                <w:numId w:val="33"/>
              </w:numPr>
              <w:rPr>
                <w:rFonts w:asciiTheme="majorHAnsi" w:hAnsiTheme="majorHAnsi"/>
                <w:sz w:val="20"/>
                <w:szCs w:val="20"/>
              </w:rPr>
            </w:pPr>
            <w:r>
              <w:rPr>
                <w:rFonts w:asciiTheme="majorHAnsi" w:hAnsiTheme="majorHAnsi"/>
                <w:sz w:val="20"/>
                <w:szCs w:val="20"/>
              </w:rPr>
              <w:t>Speaker was difficult to understand.  Q&amp;A helped.</w:t>
            </w:r>
            <w:r>
              <w:rPr>
                <w:rFonts w:asciiTheme="majorHAnsi" w:hAnsiTheme="majorHAnsi"/>
                <w:sz w:val="20"/>
                <w:szCs w:val="20"/>
              </w:rPr>
              <w:br/>
            </w:r>
            <w:r>
              <w:rPr>
                <w:rFonts w:asciiTheme="majorHAnsi" w:hAnsiTheme="majorHAnsi"/>
                <w:sz w:val="20"/>
                <w:szCs w:val="20"/>
              </w:rPr>
              <w:br/>
              <w:t xml:space="preserve">A number of people felt good about this particular process this year, and that it was focused.  The general temperature of our college is different this year, and there was a good vibe.  This is good to hear, as this was not the tone in January.  Will that feedback be used?  We know that the feedback for the Mission/Vision/Values was used.  </w:t>
            </w:r>
            <w:r w:rsidR="00805DDF">
              <w:rPr>
                <w:rFonts w:asciiTheme="majorHAnsi" w:hAnsiTheme="majorHAnsi"/>
                <w:sz w:val="20"/>
                <w:szCs w:val="20"/>
              </w:rPr>
              <w:t>The process from January until now has really changed.  If enough people say the same things about participatory governance, it makes a difference.</w:t>
            </w:r>
            <w:r w:rsidR="000549F6">
              <w:rPr>
                <w:rFonts w:asciiTheme="majorHAnsi" w:hAnsiTheme="majorHAnsi"/>
                <w:sz w:val="20"/>
                <w:szCs w:val="20"/>
              </w:rPr>
              <w:t xml:space="preserve">  A good example of this is getting curriculum to be an </w:t>
            </w:r>
            <w:r w:rsidR="000549F6">
              <w:rPr>
                <w:rFonts w:asciiTheme="majorHAnsi" w:hAnsiTheme="majorHAnsi"/>
                <w:sz w:val="20"/>
                <w:szCs w:val="20"/>
              </w:rPr>
              <w:lastRenderedPageBreak/>
              <w:t>important part of the EMP.</w:t>
            </w:r>
            <w:r w:rsidR="00636791">
              <w:rPr>
                <w:rFonts w:asciiTheme="majorHAnsi" w:hAnsiTheme="majorHAnsi"/>
                <w:sz w:val="20"/>
                <w:szCs w:val="20"/>
              </w:rPr>
              <w:t xml:space="preserve"> </w:t>
            </w:r>
            <w:r w:rsidR="00636791">
              <w:rPr>
                <w:rFonts w:asciiTheme="majorHAnsi" w:hAnsiTheme="majorHAnsi"/>
                <w:sz w:val="20"/>
                <w:szCs w:val="20"/>
              </w:rPr>
              <w:br/>
            </w:r>
            <w:r w:rsidR="00636791">
              <w:rPr>
                <w:rFonts w:asciiTheme="majorHAnsi" w:hAnsiTheme="majorHAnsi"/>
                <w:sz w:val="20"/>
                <w:szCs w:val="20"/>
              </w:rPr>
              <w:br/>
              <w:t>Some suggestion about having a student panel instead of a speaker.  Several comments about improving the layo</w:t>
            </w:r>
            <w:r w:rsidR="00BA2A74">
              <w:rPr>
                <w:rFonts w:asciiTheme="majorHAnsi" w:hAnsiTheme="majorHAnsi"/>
                <w:sz w:val="20"/>
                <w:szCs w:val="20"/>
              </w:rPr>
              <w:t>ut for lunch.  There was a lack of movement.  Trivia games, or something that celebrates our history.</w:t>
            </w:r>
            <w:r>
              <w:rPr>
                <w:rFonts w:asciiTheme="majorHAnsi" w:hAnsiTheme="majorHAnsi"/>
                <w:sz w:val="20"/>
                <w:szCs w:val="20"/>
              </w:rPr>
              <w:br/>
            </w:r>
            <w:r>
              <w:rPr>
                <w:rFonts w:asciiTheme="majorHAnsi" w:hAnsiTheme="majorHAnsi"/>
                <w:sz w:val="20"/>
                <w:szCs w:val="20"/>
              </w:rPr>
              <w:br/>
            </w:r>
            <w:r>
              <w:rPr>
                <w:rFonts w:asciiTheme="majorHAnsi" w:hAnsiTheme="majorHAnsi"/>
                <w:sz w:val="20"/>
                <w:szCs w:val="20"/>
              </w:rPr>
              <w:br/>
            </w:r>
            <w:r>
              <w:rPr>
                <w:rFonts w:asciiTheme="majorHAnsi" w:hAnsiTheme="majorHAnsi"/>
                <w:sz w:val="20"/>
                <w:szCs w:val="20"/>
              </w:rPr>
              <w:br/>
            </w:r>
            <w:r w:rsidR="00B25A0E" w:rsidRPr="00643A68">
              <w:rPr>
                <w:rFonts w:asciiTheme="majorHAnsi" w:hAnsiTheme="majorHAnsi"/>
                <w:sz w:val="20"/>
                <w:szCs w:val="20"/>
              </w:rPr>
              <w:br/>
            </w:r>
          </w:p>
          <w:p w14:paraId="5AF29F10" w14:textId="456C720F" w:rsidR="00157345" w:rsidRPr="00705E14" w:rsidRDefault="00705E14" w:rsidP="00705E14">
            <w:pPr>
              <w:rPr>
                <w:rFonts w:asciiTheme="majorHAnsi" w:hAnsiTheme="majorHAnsi"/>
                <w:sz w:val="20"/>
                <w:szCs w:val="20"/>
              </w:rPr>
            </w:pPr>
            <w:r w:rsidRPr="00705E14">
              <w:rPr>
                <w:rFonts w:asciiTheme="majorHAnsi" w:hAnsiTheme="majorHAnsi"/>
                <w:sz w:val="20"/>
                <w:szCs w:val="20"/>
              </w:rPr>
              <w:br/>
            </w:r>
            <w:r w:rsidRPr="00705E14">
              <w:rPr>
                <w:rFonts w:asciiTheme="majorHAnsi" w:hAnsiTheme="majorHAnsi"/>
                <w:sz w:val="20"/>
                <w:szCs w:val="20"/>
              </w:rPr>
              <w:br/>
            </w:r>
          </w:p>
        </w:tc>
        <w:tc>
          <w:tcPr>
            <w:tcW w:w="1109" w:type="pct"/>
          </w:tcPr>
          <w:p w14:paraId="7604B66A" w14:textId="167A8B82" w:rsidR="00C6283E" w:rsidRDefault="00810F23" w:rsidP="00810F23">
            <w:pPr>
              <w:pStyle w:val="ListParagraph"/>
              <w:numPr>
                <w:ilvl w:val="0"/>
                <w:numId w:val="36"/>
              </w:numPr>
              <w:rPr>
                <w:rFonts w:ascii="Calibri" w:hAnsi="Calibri"/>
                <w:sz w:val="20"/>
                <w:szCs w:val="20"/>
              </w:rPr>
            </w:pPr>
            <w:r>
              <w:rPr>
                <w:rFonts w:ascii="Calibri" w:hAnsi="Calibri"/>
                <w:sz w:val="20"/>
                <w:szCs w:val="20"/>
              </w:rPr>
              <w:lastRenderedPageBreak/>
              <w:t>Oleg will distribute list of ‘next up programs’</w:t>
            </w:r>
          </w:p>
          <w:p w14:paraId="25A2C7DC" w14:textId="795F84C3" w:rsidR="00643A68" w:rsidRPr="00810F23" w:rsidRDefault="00643A68" w:rsidP="00810F23">
            <w:pPr>
              <w:pStyle w:val="ListParagraph"/>
              <w:numPr>
                <w:ilvl w:val="0"/>
                <w:numId w:val="36"/>
              </w:numPr>
              <w:rPr>
                <w:rFonts w:ascii="Calibri" w:hAnsi="Calibri"/>
                <w:sz w:val="20"/>
                <w:szCs w:val="20"/>
              </w:rPr>
            </w:pPr>
            <w:r>
              <w:rPr>
                <w:rFonts w:ascii="Calibri" w:hAnsi="Calibri"/>
                <w:sz w:val="20"/>
                <w:szCs w:val="20"/>
              </w:rPr>
              <w:t>May 8, May 22</w:t>
            </w:r>
            <w:r w:rsidRPr="00643A68">
              <w:rPr>
                <w:rFonts w:ascii="Calibri" w:hAnsi="Calibri"/>
                <w:sz w:val="20"/>
                <w:szCs w:val="20"/>
                <w:vertAlign w:val="superscript"/>
              </w:rPr>
              <w:t>nd</w:t>
            </w:r>
            <w:r>
              <w:rPr>
                <w:rFonts w:ascii="Calibri" w:hAnsi="Calibri"/>
                <w:sz w:val="20"/>
                <w:szCs w:val="20"/>
              </w:rPr>
              <w:t xml:space="preserve"> (two meetings to work on the workplan, subsequently shared with department chairs and program leads</w:t>
            </w:r>
          </w:p>
          <w:p w14:paraId="5E66D5C2" w14:textId="5615E833" w:rsidR="00705E14" w:rsidRPr="009359EA" w:rsidRDefault="00705E14"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FD1B39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1868982E" w14:textId="7FA2D08F" w:rsidR="006E0060" w:rsidRPr="006E0060" w:rsidRDefault="006E0060" w:rsidP="006E0060">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Mission / Vision / Values Statement</w:t>
            </w:r>
          </w:p>
          <w:p w14:paraId="52BD4B8F" w14:textId="242800D5" w:rsidR="002773BD" w:rsidRDefault="002773BD" w:rsidP="006E0060">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p>
          <w:p w14:paraId="7BD0ADD8" w14:textId="3E2DE1BB" w:rsidR="00D65EB4" w:rsidRPr="006E0060" w:rsidRDefault="006E0060" w:rsidP="006E0060">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2 workgroup for step 1, report back (workplan)</w:t>
            </w:r>
          </w:p>
        </w:tc>
        <w:tc>
          <w:tcPr>
            <w:tcW w:w="1950" w:type="pct"/>
          </w:tcPr>
          <w:p w14:paraId="2F28E53D" w14:textId="77777777" w:rsidR="00035279" w:rsidRDefault="0083597E" w:rsidP="0083597E">
            <w:pPr>
              <w:pStyle w:val="ListParagraph"/>
              <w:numPr>
                <w:ilvl w:val="0"/>
                <w:numId w:val="31"/>
              </w:numPr>
              <w:rPr>
                <w:rFonts w:asciiTheme="majorHAnsi" w:hAnsiTheme="majorHAnsi"/>
                <w:sz w:val="20"/>
                <w:szCs w:val="20"/>
              </w:rPr>
            </w:pPr>
            <w:r>
              <w:rPr>
                <w:rFonts w:asciiTheme="majorHAnsi" w:hAnsiTheme="majorHAnsi"/>
                <w:sz w:val="20"/>
                <w:szCs w:val="20"/>
              </w:rPr>
              <w:t xml:space="preserve">One item of feedback that had resonance but was omitted was the word citizenship, as it could have adverse effects for DACA students.  This </w:t>
            </w:r>
            <w:r w:rsidR="00EC57F0">
              <w:rPr>
                <w:rFonts w:asciiTheme="majorHAnsi" w:hAnsiTheme="majorHAnsi"/>
                <w:sz w:val="20"/>
                <w:szCs w:val="20"/>
              </w:rPr>
              <w:t>‘feels’ like a college-wide document as there was substantive revision from the original draft, with feedback coming from a variety of participants across campus.</w:t>
            </w:r>
          </w:p>
          <w:p w14:paraId="5221EE88" w14:textId="7AC8B37D" w:rsidR="00D31F1F" w:rsidRDefault="00D31F1F" w:rsidP="00915CC0">
            <w:pPr>
              <w:pStyle w:val="ListParagraph"/>
              <w:numPr>
                <w:ilvl w:val="0"/>
                <w:numId w:val="31"/>
              </w:numPr>
              <w:rPr>
                <w:rFonts w:asciiTheme="majorHAnsi" w:hAnsiTheme="majorHAnsi"/>
                <w:sz w:val="20"/>
                <w:szCs w:val="20"/>
              </w:rPr>
            </w:pPr>
            <w:r>
              <w:rPr>
                <w:rFonts w:asciiTheme="majorHAnsi" w:hAnsiTheme="majorHAnsi"/>
                <w:sz w:val="20"/>
                <w:szCs w:val="20"/>
              </w:rPr>
              <w:t>There were four substantive comments brought up at the planning retreat.  There were efforts made to address those comments in the EMP</w:t>
            </w:r>
            <w:r>
              <w:rPr>
                <w:rFonts w:asciiTheme="majorHAnsi" w:hAnsiTheme="majorHAnsi"/>
                <w:sz w:val="20"/>
                <w:szCs w:val="20"/>
              </w:rPr>
              <w:br/>
            </w:r>
            <w:r>
              <w:rPr>
                <w:rFonts w:asciiTheme="majorHAnsi" w:hAnsiTheme="majorHAnsi"/>
                <w:sz w:val="20"/>
                <w:szCs w:val="20"/>
              </w:rPr>
              <w:br/>
              <w:t>“Improve and expand CTE” in Goal #1, B.  We want to make sure that ‘improve’ has a metric associated with it.  It’s a good concept, and Mary R. can give ideas on metrics that can tie in on this.</w:t>
            </w:r>
            <w:r>
              <w:rPr>
                <w:rFonts w:asciiTheme="majorHAnsi" w:hAnsiTheme="majorHAnsi"/>
                <w:sz w:val="20"/>
                <w:szCs w:val="20"/>
              </w:rPr>
              <w:br/>
            </w:r>
            <w:r>
              <w:rPr>
                <w:rFonts w:asciiTheme="majorHAnsi" w:hAnsiTheme="majorHAnsi"/>
                <w:sz w:val="20"/>
                <w:szCs w:val="20"/>
              </w:rPr>
              <w:br/>
            </w:r>
            <w:r>
              <w:rPr>
                <w:rFonts w:asciiTheme="majorHAnsi" w:hAnsiTheme="majorHAnsi"/>
                <w:sz w:val="20"/>
                <w:szCs w:val="20"/>
              </w:rPr>
              <w:lastRenderedPageBreak/>
              <w:t>Concern: as the population is in flux, if we give targets that are numerical as opposed to percentages.  We are setting ourselves up for failure if our numbers are shifting due to population changes that are beyond our control.</w:t>
            </w:r>
            <w:r w:rsidR="00C366A3">
              <w:rPr>
                <w:rFonts w:asciiTheme="majorHAnsi" w:hAnsiTheme="majorHAnsi"/>
                <w:sz w:val="20"/>
                <w:szCs w:val="20"/>
              </w:rPr>
              <w:t xml:space="preserve">  Response: this is basically how the metrics were set up by the Chancellors Office, so this version is set.  </w:t>
            </w:r>
            <w:r w:rsidR="007E7A2E">
              <w:rPr>
                <w:rFonts w:asciiTheme="majorHAnsi" w:hAnsiTheme="majorHAnsi"/>
                <w:sz w:val="20"/>
                <w:szCs w:val="20"/>
              </w:rPr>
              <w:t>2</w:t>
            </w:r>
            <w:r w:rsidR="007E7A2E" w:rsidRPr="007E7A2E">
              <w:rPr>
                <w:rFonts w:asciiTheme="majorHAnsi" w:hAnsiTheme="majorHAnsi"/>
                <w:sz w:val="20"/>
                <w:szCs w:val="20"/>
                <w:vertAlign w:val="superscript"/>
              </w:rPr>
              <w:t>nd</w:t>
            </w:r>
            <w:r w:rsidR="007E7A2E">
              <w:rPr>
                <w:rFonts w:asciiTheme="majorHAnsi" w:hAnsiTheme="majorHAnsi"/>
                <w:sz w:val="20"/>
                <w:szCs w:val="20"/>
              </w:rPr>
              <w:t xml:space="preserve"> response: can we co-list the percentages?  </w:t>
            </w:r>
            <w:r w:rsidR="007E7A2E">
              <w:rPr>
                <w:rFonts w:asciiTheme="majorHAnsi" w:hAnsiTheme="majorHAnsi"/>
                <w:sz w:val="20"/>
                <w:szCs w:val="20"/>
              </w:rPr>
              <w:br/>
            </w:r>
            <w:r w:rsidR="007E7A2E">
              <w:rPr>
                <w:rFonts w:asciiTheme="majorHAnsi" w:hAnsiTheme="majorHAnsi"/>
                <w:sz w:val="20"/>
                <w:szCs w:val="20"/>
              </w:rPr>
              <w:br/>
              <w:t xml:space="preserve">What can we do feel confident about the living nature of the document?  It can be recalibrated from year to year.  If there is a need to change the data points, then we can supply need and evidence to support that need.  What we’re asking is that we start with a clear data set, with </w:t>
            </w:r>
            <w:r w:rsidR="006A2283">
              <w:rPr>
                <w:rFonts w:asciiTheme="majorHAnsi" w:hAnsiTheme="majorHAnsi"/>
                <w:sz w:val="20"/>
                <w:szCs w:val="20"/>
              </w:rPr>
              <w:t>recognition</w:t>
            </w:r>
            <w:r w:rsidR="007E7A2E">
              <w:rPr>
                <w:rFonts w:asciiTheme="majorHAnsi" w:hAnsiTheme="majorHAnsi"/>
                <w:sz w:val="20"/>
                <w:szCs w:val="20"/>
              </w:rPr>
              <w:t xml:space="preserve"> that many data points or goals may need to be changed over time.  </w:t>
            </w:r>
            <w:r w:rsidR="007E7A2E">
              <w:rPr>
                <w:rFonts w:asciiTheme="majorHAnsi" w:hAnsiTheme="majorHAnsi"/>
                <w:sz w:val="20"/>
                <w:szCs w:val="20"/>
              </w:rPr>
              <w:br/>
            </w:r>
            <w:r w:rsidR="007E7A2E">
              <w:rPr>
                <w:rFonts w:asciiTheme="majorHAnsi" w:hAnsiTheme="majorHAnsi"/>
                <w:sz w:val="20"/>
                <w:szCs w:val="20"/>
              </w:rPr>
              <w:br/>
              <w:t>Consistent with what?  We’re aligning this document with Chancellors Office data points.</w:t>
            </w:r>
            <w:r w:rsidR="00D036AD">
              <w:rPr>
                <w:rFonts w:asciiTheme="majorHAnsi" w:hAnsiTheme="majorHAnsi"/>
                <w:sz w:val="20"/>
                <w:szCs w:val="20"/>
              </w:rPr>
              <w:t xml:space="preserve">  </w:t>
            </w:r>
            <w:r w:rsidR="00D036AD">
              <w:rPr>
                <w:rFonts w:asciiTheme="majorHAnsi" w:hAnsiTheme="majorHAnsi"/>
                <w:sz w:val="20"/>
                <w:szCs w:val="20"/>
              </w:rPr>
              <w:br/>
            </w:r>
            <w:r w:rsidR="00D036AD">
              <w:rPr>
                <w:rFonts w:asciiTheme="majorHAnsi" w:hAnsiTheme="majorHAnsi"/>
                <w:sz w:val="20"/>
                <w:szCs w:val="20"/>
              </w:rPr>
              <w:br/>
              <w:t>Note that it’s unfortunate that we are locked in to data presented this way by the Chancellors Office, as it may be problematic.</w:t>
            </w:r>
            <w:r w:rsidR="00915CC0">
              <w:rPr>
                <w:rFonts w:asciiTheme="majorHAnsi" w:hAnsiTheme="majorHAnsi"/>
                <w:sz w:val="20"/>
                <w:szCs w:val="20"/>
              </w:rPr>
              <w:t xml:space="preserve">  </w:t>
            </w:r>
            <w:r w:rsidR="00915CC0">
              <w:rPr>
                <w:rFonts w:asciiTheme="majorHAnsi" w:hAnsiTheme="majorHAnsi"/>
                <w:sz w:val="20"/>
                <w:szCs w:val="20"/>
              </w:rPr>
              <w:br/>
            </w:r>
          </w:p>
          <w:p w14:paraId="71D7D7E5" w14:textId="1352AAD8" w:rsidR="00915CC0" w:rsidRPr="00D31F1F" w:rsidRDefault="00915CC0" w:rsidP="00915CC0">
            <w:pPr>
              <w:pStyle w:val="ListParagraph"/>
              <w:numPr>
                <w:ilvl w:val="0"/>
                <w:numId w:val="31"/>
              </w:numPr>
              <w:rPr>
                <w:rFonts w:asciiTheme="majorHAnsi" w:hAnsiTheme="majorHAnsi"/>
                <w:sz w:val="20"/>
                <w:szCs w:val="20"/>
              </w:rPr>
            </w:pPr>
            <w:r>
              <w:rPr>
                <w:rFonts w:asciiTheme="majorHAnsi" w:hAnsiTheme="majorHAnsi"/>
                <w:sz w:val="20"/>
                <w:szCs w:val="20"/>
              </w:rPr>
              <w:t xml:space="preserve">We’re going to set three Monday late-afternoon meetings and invite non-instructional, in a setting similar to the CCCR.  There was nothing that our research group was going to be able to do in order to adjust the Program Planning process.  </w:t>
            </w:r>
            <w:proofErr w:type="gramStart"/>
            <w:r>
              <w:rPr>
                <w:rFonts w:asciiTheme="majorHAnsi" w:hAnsiTheme="majorHAnsi"/>
                <w:sz w:val="20"/>
                <w:szCs w:val="20"/>
              </w:rPr>
              <w:t>So</w:t>
            </w:r>
            <w:proofErr w:type="gramEnd"/>
            <w:r>
              <w:rPr>
                <w:rFonts w:asciiTheme="majorHAnsi" w:hAnsiTheme="majorHAnsi"/>
                <w:sz w:val="20"/>
                <w:szCs w:val="20"/>
              </w:rPr>
              <w:t xml:space="preserve"> this is going to be expected to be moved forward for the next cycle.</w:t>
            </w:r>
          </w:p>
        </w:tc>
        <w:tc>
          <w:tcPr>
            <w:tcW w:w="1109" w:type="pct"/>
            <w:shd w:val="clear" w:color="auto" w:fill="auto"/>
          </w:tcPr>
          <w:p w14:paraId="7FD95FB3" w14:textId="77777777" w:rsidR="00C6283E" w:rsidRDefault="0083597E" w:rsidP="00915CC0">
            <w:pPr>
              <w:pStyle w:val="ListParagraph"/>
              <w:numPr>
                <w:ilvl w:val="0"/>
                <w:numId w:val="32"/>
              </w:numPr>
              <w:rPr>
                <w:rFonts w:ascii="Calibri" w:hAnsi="Calibri"/>
                <w:sz w:val="20"/>
                <w:szCs w:val="20"/>
              </w:rPr>
            </w:pPr>
            <w:r w:rsidRPr="00915CC0">
              <w:rPr>
                <w:rFonts w:ascii="Calibri" w:hAnsi="Calibri"/>
                <w:sz w:val="20"/>
                <w:szCs w:val="20"/>
              </w:rPr>
              <w:lastRenderedPageBreak/>
              <w:t>Approved (Rolland moved, Howard seconded)</w:t>
            </w:r>
          </w:p>
          <w:p w14:paraId="6570EA1F" w14:textId="77777777" w:rsidR="00915CC0" w:rsidRPr="00915CC0" w:rsidRDefault="00915CC0" w:rsidP="00915CC0">
            <w:pPr>
              <w:pStyle w:val="ListParagraph"/>
              <w:numPr>
                <w:ilvl w:val="0"/>
                <w:numId w:val="32"/>
              </w:numPr>
              <w:rPr>
                <w:rFonts w:ascii="Calibri" w:hAnsi="Calibri"/>
                <w:sz w:val="20"/>
                <w:szCs w:val="20"/>
              </w:rPr>
            </w:pPr>
            <w:r>
              <w:rPr>
                <w:rFonts w:ascii="Calibri" w:hAnsi="Calibri"/>
                <w:sz w:val="20"/>
                <w:szCs w:val="20"/>
              </w:rPr>
              <w:t xml:space="preserve">Approved (Oleg moved, Rob seconded), with </w:t>
            </w:r>
            <w:r>
              <w:rPr>
                <w:rFonts w:asciiTheme="majorHAnsi" w:hAnsiTheme="majorHAnsi"/>
                <w:sz w:val="20"/>
                <w:szCs w:val="20"/>
              </w:rPr>
              <w:t>Rolland and Sydney abstaining</w:t>
            </w:r>
          </w:p>
          <w:p w14:paraId="0FAA3AAC" w14:textId="4FA92B58" w:rsidR="00915CC0" w:rsidRPr="00915CC0" w:rsidRDefault="00915CC0" w:rsidP="00915CC0">
            <w:pPr>
              <w:pStyle w:val="ListParagraph"/>
              <w:numPr>
                <w:ilvl w:val="0"/>
                <w:numId w:val="32"/>
              </w:numPr>
              <w:rPr>
                <w:rFonts w:ascii="Calibri" w:hAnsi="Calibri"/>
                <w:sz w:val="20"/>
                <w:szCs w:val="20"/>
              </w:rPr>
            </w:pPr>
            <w:r>
              <w:rPr>
                <w:rFonts w:asciiTheme="majorHAnsi" w:hAnsiTheme="majorHAnsi"/>
                <w:sz w:val="20"/>
                <w:szCs w:val="20"/>
              </w:rPr>
              <w:t>Thanksgiving is the tentative goal for action items.</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30EA4BC"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13C29B04" w:rsidR="00311AC6" w:rsidRPr="00C43D4F" w:rsidRDefault="00311AC6" w:rsidP="006E0060">
            <w:pPr>
              <w:pStyle w:val="ListParagraph"/>
              <w:autoSpaceDE w:val="0"/>
              <w:autoSpaceDN w:val="0"/>
              <w:adjustRightInd w:val="0"/>
              <w:rPr>
                <w:rFonts w:ascii="Calibri" w:hAnsi="Calibri" w:cs="Verdana"/>
                <w:color w:val="000000"/>
                <w:sz w:val="20"/>
                <w:szCs w:val="20"/>
              </w:rPr>
            </w:pP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4826" w14:textId="77777777" w:rsidR="00FA1752" w:rsidRDefault="00FA1752" w:rsidP="00F71B2D">
      <w:r>
        <w:separator/>
      </w:r>
    </w:p>
  </w:endnote>
  <w:endnote w:type="continuationSeparator" w:id="0">
    <w:p w14:paraId="1599387E" w14:textId="77777777" w:rsidR="00FA1752" w:rsidRDefault="00FA1752"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1848" w14:textId="77777777" w:rsidR="00636791" w:rsidRDefault="00636791" w:rsidP="00835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EA628" w14:textId="77777777" w:rsidR="00636791" w:rsidRDefault="00636791"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0D27" w14:textId="77777777" w:rsidR="00636791" w:rsidRDefault="00636791" w:rsidP="008359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44B">
      <w:rPr>
        <w:rStyle w:val="PageNumber"/>
        <w:noProof/>
      </w:rPr>
      <w:t>4</w:t>
    </w:r>
    <w:r>
      <w:rPr>
        <w:rStyle w:val="PageNumber"/>
      </w:rPr>
      <w:fldChar w:fldCharType="end"/>
    </w:r>
  </w:p>
  <w:p w14:paraId="0C630D2C" w14:textId="77777777" w:rsidR="00636791" w:rsidRDefault="00636791"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1966A" w14:textId="77777777" w:rsidR="00FA1752" w:rsidRDefault="00FA1752" w:rsidP="00F71B2D">
      <w:r>
        <w:separator/>
      </w:r>
    </w:p>
  </w:footnote>
  <w:footnote w:type="continuationSeparator" w:id="0">
    <w:p w14:paraId="6AB051F8" w14:textId="77777777" w:rsidR="00FA1752" w:rsidRDefault="00FA1752"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C54E" w14:textId="31EEBDD4" w:rsidR="00636791" w:rsidRDefault="00636791"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53AB5D58" w:rsidR="00636791" w:rsidRDefault="00636791" w:rsidP="00F71B2D">
    <w:pPr>
      <w:pStyle w:val="Header"/>
      <w:jc w:val="right"/>
    </w:pPr>
    <w:r>
      <w:rPr>
        <w:rFonts w:ascii="Calibri" w:eastAsia="Calibri" w:hAnsi="Calibri" w:cs="Calibri"/>
        <w:b/>
        <w:sz w:val="28"/>
        <w:szCs w:val="28"/>
      </w:rPr>
      <w:t>2:30-4pm, April 23,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6580C"/>
    <w:multiLevelType w:val="hybridMultilevel"/>
    <w:tmpl w:val="36163638"/>
    <w:lvl w:ilvl="0" w:tplc="B628937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41961"/>
    <w:multiLevelType w:val="hybridMultilevel"/>
    <w:tmpl w:val="C24A05FA"/>
    <w:lvl w:ilvl="0" w:tplc="B628937A">
      <w:start w:val="1"/>
      <w:numFmt w:val="upp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F0925"/>
    <w:multiLevelType w:val="hybridMultilevel"/>
    <w:tmpl w:val="36163638"/>
    <w:lvl w:ilvl="0" w:tplc="B628937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C4D6F"/>
    <w:multiLevelType w:val="hybridMultilevel"/>
    <w:tmpl w:val="A962B5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A00F5"/>
    <w:multiLevelType w:val="hybridMultilevel"/>
    <w:tmpl w:val="FA4AA0E8"/>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15:restartNumberingAfterBreak="0">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D21AE"/>
    <w:multiLevelType w:val="hybridMultilevel"/>
    <w:tmpl w:val="A7FCE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B71FD6"/>
    <w:multiLevelType w:val="hybridMultilevel"/>
    <w:tmpl w:val="FA4AA0E8"/>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15:restartNumberingAfterBreak="0">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311A9"/>
    <w:multiLevelType w:val="hybridMultilevel"/>
    <w:tmpl w:val="744E5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2D2D"/>
    <w:multiLevelType w:val="hybridMultilevel"/>
    <w:tmpl w:val="E01E5846"/>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10"/>
  </w:num>
  <w:num w:numId="2">
    <w:abstractNumId w:val="31"/>
  </w:num>
  <w:num w:numId="3">
    <w:abstractNumId w:val="25"/>
  </w:num>
  <w:num w:numId="4">
    <w:abstractNumId w:val="20"/>
  </w:num>
  <w:num w:numId="5">
    <w:abstractNumId w:val="1"/>
  </w:num>
  <w:num w:numId="6">
    <w:abstractNumId w:val="24"/>
  </w:num>
  <w:num w:numId="7">
    <w:abstractNumId w:val="21"/>
  </w:num>
  <w:num w:numId="8">
    <w:abstractNumId w:val="33"/>
  </w:num>
  <w:num w:numId="9">
    <w:abstractNumId w:val="19"/>
  </w:num>
  <w:num w:numId="10">
    <w:abstractNumId w:val="17"/>
  </w:num>
  <w:num w:numId="11">
    <w:abstractNumId w:val="18"/>
  </w:num>
  <w:num w:numId="12">
    <w:abstractNumId w:val="15"/>
  </w:num>
  <w:num w:numId="13">
    <w:abstractNumId w:val="16"/>
  </w:num>
  <w:num w:numId="14">
    <w:abstractNumId w:val="26"/>
  </w:num>
  <w:num w:numId="15">
    <w:abstractNumId w:val="13"/>
  </w:num>
  <w:num w:numId="16">
    <w:abstractNumId w:val="0"/>
  </w:num>
  <w:num w:numId="17">
    <w:abstractNumId w:val="9"/>
  </w:num>
  <w:num w:numId="18">
    <w:abstractNumId w:val="2"/>
  </w:num>
  <w:num w:numId="19">
    <w:abstractNumId w:val="7"/>
  </w:num>
  <w:num w:numId="20">
    <w:abstractNumId w:val="35"/>
  </w:num>
  <w:num w:numId="21">
    <w:abstractNumId w:val="11"/>
  </w:num>
  <w:num w:numId="22">
    <w:abstractNumId w:val="8"/>
  </w:num>
  <w:num w:numId="23">
    <w:abstractNumId w:val="14"/>
  </w:num>
  <w:num w:numId="24">
    <w:abstractNumId w:val="29"/>
  </w:num>
  <w:num w:numId="25">
    <w:abstractNumId w:val="12"/>
  </w:num>
  <w:num w:numId="26">
    <w:abstractNumId w:val="6"/>
  </w:num>
  <w:num w:numId="27">
    <w:abstractNumId w:val="30"/>
  </w:num>
  <w:num w:numId="28">
    <w:abstractNumId w:val="23"/>
  </w:num>
  <w:num w:numId="29">
    <w:abstractNumId w:val="32"/>
  </w:num>
  <w:num w:numId="30">
    <w:abstractNumId w:val="34"/>
  </w:num>
  <w:num w:numId="31">
    <w:abstractNumId w:val="22"/>
  </w:num>
  <w:num w:numId="32">
    <w:abstractNumId w:val="28"/>
  </w:num>
  <w:num w:numId="33">
    <w:abstractNumId w:val="5"/>
  </w:num>
  <w:num w:numId="34">
    <w:abstractNumId w:val="27"/>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B2D"/>
    <w:rsid w:val="00022969"/>
    <w:rsid w:val="00032212"/>
    <w:rsid w:val="00035279"/>
    <w:rsid w:val="00043FAB"/>
    <w:rsid w:val="000540B5"/>
    <w:rsid w:val="000549F6"/>
    <w:rsid w:val="00061297"/>
    <w:rsid w:val="0006320D"/>
    <w:rsid w:val="00066C26"/>
    <w:rsid w:val="000834F8"/>
    <w:rsid w:val="000964DC"/>
    <w:rsid w:val="000A5446"/>
    <w:rsid w:val="000B6D24"/>
    <w:rsid w:val="000C4757"/>
    <w:rsid w:val="000E100C"/>
    <w:rsid w:val="000E53E4"/>
    <w:rsid w:val="000F1C84"/>
    <w:rsid w:val="000F5A59"/>
    <w:rsid w:val="000F6BDA"/>
    <w:rsid w:val="00106604"/>
    <w:rsid w:val="00126A07"/>
    <w:rsid w:val="00141120"/>
    <w:rsid w:val="00154D82"/>
    <w:rsid w:val="00157345"/>
    <w:rsid w:val="001701EB"/>
    <w:rsid w:val="0017786F"/>
    <w:rsid w:val="001A31BD"/>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66B03"/>
    <w:rsid w:val="002730D0"/>
    <w:rsid w:val="002773BD"/>
    <w:rsid w:val="002842B5"/>
    <w:rsid w:val="002A3603"/>
    <w:rsid w:val="002B3723"/>
    <w:rsid w:val="002C11DF"/>
    <w:rsid w:val="002C425C"/>
    <w:rsid w:val="002D0994"/>
    <w:rsid w:val="002F01C4"/>
    <w:rsid w:val="002F2E41"/>
    <w:rsid w:val="002F360C"/>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C285F"/>
    <w:rsid w:val="003E27B6"/>
    <w:rsid w:val="0040321B"/>
    <w:rsid w:val="00405D15"/>
    <w:rsid w:val="004176E9"/>
    <w:rsid w:val="00442A2A"/>
    <w:rsid w:val="00450AA0"/>
    <w:rsid w:val="004551A4"/>
    <w:rsid w:val="00473079"/>
    <w:rsid w:val="0048140A"/>
    <w:rsid w:val="00482BF5"/>
    <w:rsid w:val="00484342"/>
    <w:rsid w:val="004A09F1"/>
    <w:rsid w:val="004B0FAE"/>
    <w:rsid w:val="004B2801"/>
    <w:rsid w:val="004D4616"/>
    <w:rsid w:val="004D7D1C"/>
    <w:rsid w:val="004E50F8"/>
    <w:rsid w:val="004F3A98"/>
    <w:rsid w:val="005040B6"/>
    <w:rsid w:val="005270DC"/>
    <w:rsid w:val="00530526"/>
    <w:rsid w:val="005649F5"/>
    <w:rsid w:val="00575158"/>
    <w:rsid w:val="0059198F"/>
    <w:rsid w:val="0059326A"/>
    <w:rsid w:val="005A7297"/>
    <w:rsid w:val="005B6B08"/>
    <w:rsid w:val="005D2583"/>
    <w:rsid w:val="005E1026"/>
    <w:rsid w:val="005F1D17"/>
    <w:rsid w:val="005F7BBC"/>
    <w:rsid w:val="006231F7"/>
    <w:rsid w:val="00627F29"/>
    <w:rsid w:val="00636791"/>
    <w:rsid w:val="00641D05"/>
    <w:rsid w:val="00643A68"/>
    <w:rsid w:val="00671376"/>
    <w:rsid w:val="00685CE7"/>
    <w:rsid w:val="006A2283"/>
    <w:rsid w:val="006A4297"/>
    <w:rsid w:val="006A5A2C"/>
    <w:rsid w:val="006B3B18"/>
    <w:rsid w:val="006B60EB"/>
    <w:rsid w:val="006C0ACF"/>
    <w:rsid w:val="006C10B2"/>
    <w:rsid w:val="006C1F8D"/>
    <w:rsid w:val="006E0060"/>
    <w:rsid w:val="006E1996"/>
    <w:rsid w:val="006E2939"/>
    <w:rsid w:val="006F2EE7"/>
    <w:rsid w:val="00704367"/>
    <w:rsid w:val="00705E14"/>
    <w:rsid w:val="00744F50"/>
    <w:rsid w:val="00746ADF"/>
    <w:rsid w:val="00776501"/>
    <w:rsid w:val="007820CC"/>
    <w:rsid w:val="0078337F"/>
    <w:rsid w:val="00787F40"/>
    <w:rsid w:val="007A00AB"/>
    <w:rsid w:val="007A46ED"/>
    <w:rsid w:val="007E13E7"/>
    <w:rsid w:val="007E7A2E"/>
    <w:rsid w:val="007F22FD"/>
    <w:rsid w:val="007F23DE"/>
    <w:rsid w:val="0080216C"/>
    <w:rsid w:val="00803D3A"/>
    <w:rsid w:val="0080427F"/>
    <w:rsid w:val="00804F7D"/>
    <w:rsid w:val="00805DDF"/>
    <w:rsid w:val="00810F23"/>
    <w:rsid w:val="00817160"/>
    <w:rsid w:val="00821198"/>
    <w:rsid w:val="008355D2"/>
    <w:rsid w:val="0083597E"/>
    <w:rsid w:val="0084441B"/>
    <w:rsid w:val="008549F4"/>
    <w:rsid w:val="00867E78"/>
    <w:rsid w:val="0087268F"/>
    <w:rsid w:val="008971C8"/>
    <w:rsid w:val="008A2C7D"/>
    <w:rsid w:val="008D61FD"/>
    <w:rsid w:val="00902CCC"/>
    <w:rsid w:val="00906C81"/>
    <w:rsid w:val="0091044C"/>
    <w:rsid w:val="00915CC0"/>
    <w:rsid w:val="0093572E"/>
    <w:rsid w:val="009359EA"/>
    <w:rsid w:val="0094083C"/>
    <w:rsid w:val="00944E25"/>
    <w:rsid w:val="00953E32"/>
    <w:rsid w:val="00980DA1"/>
    <w:rsid w:val="0098242F"/>
    <w:rsid w:val="0099011C"/>
    <w:rsid w:val="009942B5"/>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3C11"/>
    <w:rsid w:val="00B05CA3"/>
    <w:rsid w:val="00B25901"/>
    <w:rsid w:val="00B25A0E"/>
    <w:rsid w:val="00B44AE5"/>
    <w:rsid w:val="00B64CA9"/>
    <w:rsid w:val="00B7157F"/>
    <w:rsid w:val="00B73950"/>
    <w:rsid w:val="00B82B89"/>
    <w:rsid w:val="00B84DEF"/>
    <w:rsid w:val="00BA2A74"/>
    <w:rsid w:val="00BC398A"/>
    <w:rsid w:val="00BD2D18"/>
    <w:rsid w:val="00C1420A"/>
    <w:rsid w:val="00C30875"/>
    <w:rsid w:val="00C30ED5"/>
    <w:rsid w:val="00C366A3"/>
    <w:rsid w:val="00C402B9"/>
    <w:rsid w:val="00C43D4F"/>
    <w:rsid w:val="00C4538A"/>
    <w:rsid w:val="00C46830"/>
    <w:rsid w:val="00C6258A"/>
    <w:rsid w:val="00C6283E"/>
    <w:rsid w:val="00C73F24"/>
    <w:rsid w:val="00C91847"/>
    <w:rsid w:val="00C91955"/>
    <w:rsid w:val="00C94F81"/>
    <w:rsid w:val="00C95244"/>
    <w:rsid w:val="00CA2181"/>
    <w:rsid w:val="00CA28B4"/>
    <w:rsid w:val="00CA7D38"/>
    <w:rsid w:val="00CB144B"/>
    <w:rsid w:val="00CD2CD2"/>
    <w:rsid w:val="00CE59ED"/>
    <w:rsid w:val="00CF344B"/>
    <w:rsid w:val="00CF51CD"/>
    <w:rsid w:val="00CF5B36"/>
    <w:rsid w:val="00D004BF"/>
    <w:rsid w:val="00D036AD"/>
    <w:rsid w:val="00D10F57"/>
    <w:rsid w:val="00D1698F"/>
    <w:rsid w:val="00D270BC"/>
    <w:rsid w:val="00D30662"/>
    <w:rsid w:val="00D31F1F"/>
    <w:rsid w:val="00D341D9"/>
    <w:rsid w:val="00D5099E"/>
    <w:rsid w:val="00D565FC"/>
    <w:rsid w:val="00D64F4D"/>
    <w:rsid w:val="00D65EB4"/>
    <w:rsid w:val="00D833D8"/>
    <w:rsid w:val="00D840BA"/>
    <w:rsid w:val="00D95328"/>
    <w:rsid w:val="00DA5849"/>
    <w:rsid w:val="00DF488E"/>
    <w:rsid w:val="00E0225F"/>
    <w:rsid w:val="00E21CB3"/>
    <w:rsid w:val="00E272FA"/>
    <w:rsid w:val="00E30026"/>
    <w:rsid w:val="00E33048"/>
    <w:rsid w:val="00E50D31"/>
    <w:rsid w:val="00E56ED8"/>
    <w:rsid w:val="00E97E40"/>
    <w:rsid w:val="00EA09DD"/>
    <w:rsid w:val="00EA0D70"/>
    <w:rsid w:val="00EB22E8"/>
    <w:rsid w:val="00EB3A43"/>
    <w:rsid w:val="00EC51E4"/>
    <w:rsid w:val="00EC57F0"/>
    <w:rsid w:val="00EC6AC7"/>
    <w:rsid w:val="00ED2173"/>
    <w:rsid w:val="00ED4FC7"/>
    <w:rsid w:val="00EE128C"/>
    <w:rsid w:val="00EF2922"/>
    <w:rsid w:val="00F00B54"/>
    <w:rsid w:val="00F0528E"/>
    <w:rsid w:val="00F112F3"/>
    <w:rsid w:val="00F20535"/>
    <w:rsid w:val="00F248E2"/>
    <w:rsid w:val="00F31B82"/>
    <w:rsid w:val="00F5746B"/>
    <w:rsid w:val="00F67D34"/>
    <w:rsid w:val="00F71B2D"/>
    <w:rsid w:val="00F74C72"/>
    <w:rsid w:val="00F979A9"/>
    <w:rsid w:val="00FA1752"/>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3D322"/>
  <w15:docId w15:val="{C685CF15-E7D8-9C40-BEC5-0B1452DF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26</cp:revision>
  <cp:lastPrinted>2016-09-22T21:53:00Z</cp:lastPrinted>
  <dcterms:created xsi:type="dcterms:W3CDTF">2019-04-23T21:31:00Z</dcterms:created>
  <dcterms:modified xsi:type="dcterms:W3CDTF">2019-08-16T02:59:00Z</dcterms:modified>
</cp:coreProperties>
</file>