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 on Academic Senate Goals for 2017-18</w:t>
      </w:r>
    </w:p>
    <w:p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From AS Planning Session</w:t>
      </w:r>
    </w:p>
    <w:p w:rsidR="00B208BE" w:rsidRDefault="00B208BE" w:rsidP="00B208BE">
      <w:pPr>
        <w:rPr>
          <w:rFonts w:ascii="Times New Roman" w:hAnsi="Times New Roman" w:cs="Times New Roman"/>
          <w:sz w:val="24"/>
          <w:szCs w:val="24"/>
        </w:rPr>
      </w:pPr>
    </w:p>
    <w:p w:rsidR="00B208BE" w:rsidRPr="00B720B7" w:rsidRDefault="00B208BE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ideas generated during the AS Planning Session to help start the discussion about what the AS ought to focus on this academic year.  Note that 80%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 xml:space="preserve">ves and plans, faculty prioritization and the like.  We want to select a few things on which to focus for the 20%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  <w:bookmarkStart w:id="0" w:name="_GoBack"/>
      <w:bookmarkEnd w:id="0"/>
    </w:p>
    <w:p w:rsidR="002B33D7" w:rsidRPr="00B720B7" w:rsidRDefault="002B33D7" w:rsidP="002B33D7">
      <w:pPr>
        <w:rPr>
          <w:rFonts w:ascii="Times New Roman" w:hAnsi="Times New Roman" w:cs="Times New Roman"/>
        </w:rPr>
      </w:pP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Support of Part-Time faculty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Support paid office hours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Office space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Acknowledge this is largely AFT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Encourage faculty to attend senate—increase awareness and participation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Possibly a larger room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NFO requirement to attend at least one meeting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Introduce 10+1 and the processes of senate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Send more senate members to plenaries and institutes ($$)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More money set aside for ASC conference/training attendance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Thoughtful discussion of how to spend senate funds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End of year brunch wears too many hats, needs to be focused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Bricks, scholarships, etc.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Encourage faculty participation/ASC approval of grants and categorical funds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Faculty-driven involvement of guided pathways exploration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Allocation model discussion in light of Ventura College’s change of size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>Faculty support of increased enrichment experiences for students on and off campus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Cross-disciplinary collaboration</w:t>
      </w:r>
    </w:p>
    <w:p w:rsidR="002B33D7" w:rsidRPr="002B33D7" w:rsidRDefault="002B33D7" w:rsidP="002B33D7">
      <w:pPr>
        <w:pStyle w:val="ListParagraph"/>
        <w:numPr>
          <w:ilvl w:val="0"/>
          <w:numId w:val="10"/>
        </w:numPr>
      </w:pPr>
      <w:r w:rsidRPr="002B33D7">
        <w:t xml:space="preserve">How to assess our current administration model in relation to the integration of academics and student services </w:t>
      </w:r>
    </w:p>
    <w:p w:rsidR="002B33D7" w:rsidRPr="002B33D7" w:rsidRDefault="002B33D7" w:rsidP="002B33D7">
      <w:pPr>
        <w:pStyle w:val="ListParagraph"/>
        <w:numPr>
          <w:ilvl w:val="1"/>
          <w:numId w:val="10"/>
        </w:numPr>
      </w:pPr>
      <w:r w:rsidRPr="002B33D7">
        <w:t>Integrated model, how do we preserve it?</w:t>
      </w:r>
    </w:p>
    <w:p w:rsidR="00DD7B73" w:rsidRDefault="00DD7B73" w:rsidP="002B33D7"/>
    <w:sectPr w:rsidR="00DD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2B33D7"/>
    <w:rsid w:val="005D2D74"/>
    <w:rsid w:val="00B208BE"/>
    <w:rsid w:val="00B720B7"/>
    <w:rsid w:val="00BA5CE5"/>
    <w:rsid w:val="00C23259"/>
    <w:rsid w:val="00D2217B"/>
    <w:rsid w:val="00D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7</cp:revision>
  <dcterms:created xsi:type="dcterms:W3CDTF">2017-08-12T17:30:00Z</dcterms:created>
  <dcterms:modified xsi:type="dcterms:W3CDTF">2017-08-12T17:37:00Z</dcterms:modified>
</cp:coreProperties>
</file>