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23E3C" w14:textId="77777777" w:rsidR="00660A4B" w:rsidRDefault="009A7EB9">
      <w:pPr>
        <w:pStyle w:val="BodyText"/>
        <w:ind w:left="4756"/>
        <w:rPr>
          <w:rFonts w:ascii="Times New Roman"/>
          <w:sz w:val="20"/>
        </w:rPr>
      </w:pPr>
      <w:r>
        <w:rPr>
          <w:rFonts w:ascii="Times New Roman"/>
          <w:noProof/>
          <w:sz w:val="20"/>
        </w:rPr>
        <w:drawing>
          <wp:inline distT="0" distB="0" distL="0" distR="0" wp14:anchorId="7B880C4D" wp14:editId="2D4CD9BD">
            <wp:extent cx="971977" cy="95516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71977" cy="955167"/>
                    </a:xfrm>
                    <a:prstGeom prst="rect">
                      <a:avLst/>
                    </a:prstGeom>
                  </pic:spPr>
                </pic:pic>
              </a:graphicData>
            </a:graphic>
          </wp:inline>
        </w:drawing>
      </w:r>
    </w:p>
    <w:p w14:paraId="781A6234" w14:textId="77777777" w:rsidR="00660A4B" w:rsidRDefault="00660A4B">
      <w:pPr>
        <w:pStyle w:val="BodyText"/>
        <w:spacing w:before="10"/>
        <w:rPr>
          <w:rFonts w:ascii="Times New Roman"/>
          <w:sz w:val="19"/>
        </w:rPr>
      </w:pPr>
    </w:p>
    <w:p w14:paraId="27366000" w14:textId="77777777" w:rsidR="00660A4B" w:rsidRDefault="009A7EB9">
      <w:pPr>
        <w:pStyle w:val="BodyText"/>
        <w:tabs>
          <w:tab w:val="left" w:pos="1740"/>
        </w:tabs>
        <w:spacing w:before="100"/>
        <w:ind w:left="120"/>
      </w:pPr>
      <w:r>
        <w:t>Book</w:t>
      </w:r>
      <w:r>
        <w:tab/>
        <w:t>VCCCD Administrative Procedure</w:t>
      </w:r>
      <w:r>
        <w:rPr>
          <w:spacing w:val="-5"/>
        </w:rPr>
        <w:t xml:space="preserve"> </w:t>
      </w:r>
      <w:r>
        <w:t>Manual</w:t>
      </w:r>
    </w:p>
    <w:p w14:paraId="6C0DA442" w14:textId="77777777" w:rsidR="00660A4B" w:rsidRDefault="009A7EB9">
      <w:pPr>
        <w:pStyle w:val="BodyText"/>
        <w:tabs>
          <w:tab w:val="left" w:pos="1740"/>
        </w:tabs>
        <w:spacing w:before="161"/>
        <w:ind w:left="120"/>
      </w:pPr>
      <w:r>
        <w:t>Section</w:t>
      </w:r>
      <w:r>
        <w:tab/>
        <w:t>Chapter 4 Academic</w:t>
      </w:r>
      <w:r>
        <w:rPr>
          <w:spacing w:val="-19"/>
        </w:rPr>
        <w:t xml:space="preserve"> </w:t>
      </w:r>
      <w:r>
        <w:t>Affairs</w:t>
      </w:r>
    </w:p>
    <w:p w14:paraId="62636405" w14:textId="77777777" w:rsidR="00660A4B" w:rsidRDefault="009A7EB9">
      <w:pPr>
        <w:pStyle w:val="BodyText"/>
        <w:tabs>
          <w:tab w:val="left" w:pos="1740"/>
        </w:tabs>
        <w:spacing w:before="160"/>
        <w:ind w:left="120"/>
      </w:pPr>
      <w:r>
        <w:t>Title</w:t>
      </w:r>
      <w:r>
        <w:tab/>
        <w:t>AP 4102 Career Technical Education</w:t>
      </w:r>
      <w:r>
        <w:rPr>
          <w:spacing w:val="-27"/>
        </w:rPr>
        <w:t xml:space="preserve"> </w:t>
      </w:r>
      <w:r>
        <w:t>Programs</w:t>
      </w:r>
    </w:p>
    <w:p w14:paraId="1A011153" w14:textId="77777777" w:rsidR="00660A4B" w:rsidRDefault="009A7EB9">
      <w:pPr>
        <w:pStyle w:val="BodyText"/>
        <w:tabs>
          <w:tab w:val="left" w:pos="1739"/>
        </w:tabs>
        <w:spacing w:before="161"/>
        <w:ind w:left="120"/>
      </w:pPr>
      <w:r>
        <w:t>Number</w:t>
      </w:r>
      <w:r>
        <w:tab/>
        <w:t>AP</w:t>
      </w:r>
      <w:r>
        <w:rPr>
          <w:spacing w:val="-3"/>
        </w:rPr>
        <w:t xml:space="preserve"> </w:t>
      </w:r>
      <w:r>
        <w:t>4102</w:t>
      </w:r>
    </w:p>
    <w:p w14:paraId="36025A25" w14:textId="77777777" w:rsidR="00660A4B" w:rsidRDefault="009A7EB9">
      <w:pPr>
        <w:pStyle w:val="BodyText"/>
        <w:tabs>
          <w:tab w:val="left" w:pos="1740"/>
        </w:tabs>
        <w:spacing w:before="161"/>
        <w:ind w:left="120"/>
      </w:pPr>
      <w:r>
        <w:t>Status</w:t>
      </w:r>
      <w:r>
        <w:tab/>
      </w:r>
      <w:proofErr w:type="gramStart"/>
      <w:r w:rsidRPr="00385A6A">
        <w:rPr>
          <w:color w:val="00B050"/>
        </w:rPr>
        <w:t>Under</w:t>
      </w:r>
      <w:proofErr w:type="gramEnd"/>
      <w:r w:rsidRPr="00385A6A">
        <w:rPr>
          <w:color w:val="00B050"/>
          <w:spacing w:val="-15"/>
        </w:rPr>
        <w:t xml:space="preserve"> </w:t>
      </w:r>
      <w:r w:rsidRPr="00385A6A">
        <w:rPr>
          <w:color w:val="00B050"/>
        </w:rPr>
        <w:t>Consideration</w:t>
      </w:r>
    </w:p>
    <w:p w14:paraId="134911BD" w14:textId="77777777" w:rsidR="00660A4B" w:rsidRPr="00385A6A" w:rsidRDefault="009A7EB9">
      <w:pPr>
        <w:pStyle w:val="BodyText"/>
        <w:tabs>
          <w:tab w:val="left" w:pos="1769"/>
        </w:tabs>
        <w:spacing w:before="160" w:line="252" w:lineRule="auto"/>
        <w:ind w:left="1770" w:right="1390" w:hanging="1650"/>
      </w:pPr>
      <w:r>
        <w:rPr>
          <w:position w:val="3"/>
        </w:rPr>
        <w:t>Legal</w:t>
      </w:r>
      <w:r>
        <w:rPr>
          <w:position w:val="3"/>
        </w:rPr>
        <w:tab/>
      </w:r>
      <w:r w:rsidRPr="00385A6A">
        <w:rPr>
          <w:u w:val="single" w:color="0000EE"/>
        </w:rPr>
        <w:t xml:space="preserve">2 Code of Federal Regulations Part </w:t>
      </w:r>
      <w:proofErr w:type="gramStart"/>
      <w:r w:rsidRPr="00385A6A">
        <w:rPr>
          <w:u w:val="single" w:color="0000EE"/>
        </w:rPr>
        <w:t>200 .(</w:t>
      </w:r>
      <w:proofErr w:type="gramEnd"/>
      <w:r w:rsidRPr="00385A6A">
        <w:rPr>
          <w:u w:val="single" w:color="0000EE"/>
        </w:rPr>
        <w:t>The Federal Education</w:t>
      </w:r>
      <w:r w:rsidRPr="00385A6A">
        <w:rPr>
          <w:spacing w:val="-23"/>
          <w:u w:val="single" w:color="0000EE"/>
        </w:rPr>
        <w:t xml:space="preserve"> </w:t>
      </w:r>
      <w:r w:rsidRPr="00385A6A">
        <w:rPr>
          <w:u w:val="single" w:color="0000EE"/>
        </w:rPr>
        <w:t>Department</w:t>
      </w:r>
      <w:r w:rsidRPr="00385A6A">
        <w:rPr>
          <w:spacing w:val="-2"/>
          <w:u w:val="single" w:color="0000EE"/>
        </w:rPr>
        <w:t xml:space="preserve"> </w:t>
      </w:r>
      <w:r w:rsidRPr="00385A6A">
        <w:rPr>
          <w:u w:val="single" w:color="0000EE"/>
        </w:rPr>
        <w:t>General</w:t>
      </w:r>
      <w:r w:rsidRPr="00385A6A">
        <w:rPr>
          <w:spacing w:val="-1"/>
          <w:w w:val="99"/>
        </w:rPr>
        <w:t xml:space="preserve"> </w:t>
      </w:r>
      <w:r w:rsidRPr="00385A6A">
        <w:rPr>
          <w:u w:val="single" w:color="0000EE"/>
        </w:rPr>
        <w:t>Administrative Regulations, 2nd</w:t>
      </w:r>
      <w:r w:rsidRPr="00385A6A">
        <w:rPr>
          <w:spacing w:val="-26"/>
          <w:u w:val="single" w:color="0000EE"/>
        </w:rPr>
        <w:t xml:space="preserve"> </w:t>
      </w:r>
      <w:r w:rsidRPr="00385A6A">
        <w:rPr>
          <w:u w:val="single" w:color="0000EE"/>
        </w:rPr>
        <w:t>Edition)</w:t>
      </w:r>
    </w:p>
    <w:p w14:paraId="753A4065" w14:textId="77777777" w:rsidR="00660A4B" w:rsidRPr="00385A6A" w:rsidRDefault="009A7EB9">
      <w:pPr>
        <w:pStyle w:val="BodyText"/>
        <w:spacing w:before="135"/>
        <w:ind w:left="1770"/>
      </w:pPr>
      <w:r w:rsidRPr="00385A6A">
        <w:rPr>
          <w:u w:val="single" w:color="551A8B"/>
        </w:rPr>
        <w:t>ACCJC Accreditation Standard II.A.14</w:t>
      </w:r>
    </w:p>
    <w:p w14:paraId="56C5607F" w14:textId="77777777" w:rsidR="00660A4B" w:rsidRPr="00385A6A" w:rsidRDefault="009A7EB9">
      <w:pPr>
        <w:pStyle w:val="BodyText"/>
        <w:spacing w:before="146" w:line="400" w:lineRule="auto"/>
        <w:ind w:left="1770" w:right="2577"/>
      </w:pPr>
      <w:r w:rsidRPr="00385A6A">
        <w:rPr>
          <w:u w:val="single" w:color="0000EE"/>
        </w:rPr>
        <w:t>34 Code of Federal Regulations Part 600 (U.S. Dept. of Ed Regulations)</w:t>
      </w:r>
      <w:r w:rsidRPr="00385A6A">
        <w:rPr>
          <w:u w:val="single" w:color="551A8B"/>
        </w:rPr>
        <w:t xml:space="preserve"> California Education Code, Section 78016</w:t>
      </w:r>
    </w:p>
    <w:p w14:paraId="6D13C113" w14:textId="77777777" w:rsidR="00660A4B" w:rsidRPr="00385A6A" w:rsidRDefault="009A7EB9">
      <w:pPr>
        <w:pStyle w:val="BodyText"/>
        <w:spacing w:line="218" w:lineRule="exact"/>
        <w:ind w:left="1770"/>
        <w:rPr>
          <w:u w:val="single" w:color="551A8B"/>
        </w:rPr>
      </w:pPr>
      <w:r w:rsidRPr="00385A6A">
        <w:rPr>
          <w:u w:val="single" w:color="551A8B"/>
        </w:rPr>
        <w:t>Title 5, Sections 55600 et seq.</w:t>
      </w:r>
    </w:p>
    <w:p w14:paraId="29E2E70C" w14:textId="77777777" w:rsidR="00791618" w:rsidRDefault="00791618">
      <w:pPr>
        <w:pStyle w:val="BodyText"/>
        <w:spacing w:line="218" w:lineRule="exact"/>
        <w:ind w:left="1770"/>
        <w:rPr>
          <w:color w:val="551A8B"/>
          <w:u w:val="single" w:color="551A8B"/>
        </w:rPr>
      </w:pPr>
    </w:p>
    <w:p w14:paraId="00C675A1" w14:textId="77777777" w:rsidR="00791618" w:rsidRPr="00385A6A" w:rsidRDefault="00791618">
      <w:pPr>
        <w:pStyle w:val="BodyText"/>
        <w:spacing w:line="218" w:lineRule="exact"/>
        <w:ind w:left="1770"/>
        <w:rPr>
          <w:color w:val="00B050"/>
        </w:rPr>
      </w:pPr>
      <w:r w:rsidRPr="00385A6A">
        <w:rPr>
          <w:color w:val="00B050"/>
          <w:u w:val="single" w:color="551A8B"/>
        </w:rPr>
        <w:t xml:space="preserve">ADD PERKINS </w:t>
      </w:r>
    </w:p>
    <w:p w14:paraId="589B52CA" w14:textId="77777777" w:rsidR="00660A4B" w:rsidRDefault="00660A4B">
      <w:pPr>
        <w:pStyle w:val="BodyText"/>
        <w:spacing w:before="11"/>
        <w:rPr>
          <w:sz w:val="21"/>
        </w:rPr>
      </w:pPr>
    </w:p>
    <w:p w14:paraId="59C3FD27" w14:textId="77777777" w:rsidR="00660A4B" w:rsidRDefault="009A7EB9">
      <w:pPr>
        <w:pStyle w:val="BodyText"/>
        <w:tabs>
          <w:tab w:val="left" w:pos="1739"/>
        </w:tabs>
        <w:ind w:left="119"/>
      </w:pPr>
      <w:r>
        <w:t>Adopted</w:t>
      </w:r>
      <w:r>
        <w:tab/>
        <w:t>July 14,</w:t>
      </w:r>
      <w:r>
        <w:rPr>
          <w:spacing w:val="-8"/>
        </w:rPr>
        <w:t xml:space="preserve"> </w:t>
      </w:r>
      <w:r>
        <w:t>2009</w:t>
      </w:r>
    </w:p>
    <w:p w14:paraId="4ED3AA71" w14:textId="77777777" w:rsidR="00660A4B" w:rsidRDefault="009A7EB9">
      <w:pPr>
        <w:pStyle w:val="BodyText"/>
        <w:tabs>
          <w:tab w:val="left" w:pos="1740"/>
        </w:tabs>
        <w:spacing w:before="161"/>
        <w:ind w:left="119"/>
      </w:pPr>
      <w:r>
        <w:t>Last</w:t>
      </w:r>
      <w:r>
        <w:rPr>
          <w:spacing w:val="-2"/>
        </w:rPr>
        <w:t xml:space="preserve"> </w:t>
      </w:r>
      <w:r>
        <w:t>Revised</w:t>
      </w:r>
      <w:r>
        <w:tab/>
      </w:r>
      <w:r w:rsidRPr="00385A6A">
        <w:rPr>
          <w:color w:val="00B050"/>
        </w:rPr>
        <w:t>April 14,</w:t>
      </w:r>
      <w:r w:rsidRPr="00385A6A">
        <w:rPr>
          <w:color w:val="00B050"/>
          <w:spacing w:val="-6"/>
        </w:rPr>
        <w:t xml:space="preserve"> </w:t>
      </w:r>
      <w:r w:rsidRPr="00385A6A">
        <w:rPr>
          <w:color w:val="00B050"/>
        </w:rPr>
        <w:t>2015</w:t>
      </w:r>
    </w:p>
    <w:p w14:paraId="293E92C2" w14:textId="77777777" w:rsidR="00660A4B" w:rsidRDefault="00660A4B">
      <w:pPr>
        <w:pStyle w:val="BodyText"/>
        <w:rPr>
          <w:sz w:val="20"/>
        </w:rPr>
      </w:pPr>
    </w:p>
    <w:p w14:paraId="6090F0EB" w14:textId="77777777" w:rsidR="00660A4B" w:rsidRDefault="00660A4B">
      <w:pPr>
        <w:pStyle w:val="BodyText"/>
        <w:spacing w:before="5"/>
        <w:rPr>
          <w:sz w:val="19"/>
        </w:rPr>
      </w:pPr>
    </w:p>
    <w:p w14:paraId="316E534B" w14:textId="240C14A6" w:rsidR="00DE79BA" w:rsidRDefault="00DE79BA" w:rsidP="00DE79BA">
      <w:pPr>
        <w:pStyle w:val="BodyText"/>
        <w:spacing w:before="101"/>
        <w:ind w:left="120"/>
      </w:pPr>
      <w:r>
        <w:t>This Administrative Procedure applies only to programs with a Taxonomy of Programs (TOP) code that designates them as vocational or career technical in nature.</w:t>
      </w:r>
    </w:p>
    <w:p w14:paraId="7E80EC28" w14:textId="77777777" w:rsidR="00385A6A" w:rsidRDefault="00385A6A" w:rsidP="00DE79BA">
      <w:pPr>
        <w:pStyle w:val="BodyText"/>
        <w:spacing w:before="101"/>
        <w:ind w:left="120"/>
      </w:pPr>
    </w:p>
    <w:p w14:paraId="0520F759" w14:textId="77777777" w:rsidR="00660A4B" w:rsidRDefault="00660A4B">
      <w:pPr>
        <w:pStyle w:val="BodyText"/>
        <w:spacing w:before="11"/>
        <w:rPr>
          <w:sz w:val="19"/>
        </w:rPr>
      </w:pPr>
    </w:p>
    <w:p w14:paraId="5CBDC495" w14:textId="42C79921" w:rsidR="00660A4B" w:rsidRDefault="00B86774">
      <w:pPr>
        <w:ind w:left="120"/>
        <w:rPr>
          <w:b/>
          <w:sz w:val="18"/>
          <w:u w:val="single"/>
        </w:rPr>
      </w:pPr>
      <w:r w:rsidRPr="00385A6A">
        <w:rPr>
          <w:b/>
          <w:sz w:val="18"/>
          <w:u w:val="single"/>
        </w:rPr>
        <w:t>I</w:t>
      </w:r>
      <w:r w:rsidRPr="00385A6A">
        <w:rPr>
          <w:b/>
          <w:sz w:val="18"/>
        </w:rPr>
        <w:tab/>
      </w:r>
      <w:r w:rsidR="009A7EB9" w:rsidRPr="00385A6A">
        <w:rPr>
          <w:b/>
          <w:sz w:val="18"/>
          <w:u w:val="single"/>
        </w:rPr>
        <w:t>Career Technical Education (CTE) Program Development and Approval</w:t>
      </w:r>
    </w:p>
    <w:p w14:paraId="7E4A501D" w14:textId="77777777" w:rsidR="00385A6A" w:rsidRPr="00385A6A" w:rsidRDefault="00385A6A">
      <w:pPr>
        <w:ind w:left="120"/>
        <w:rPr>
          <w:b/>
          <w:sz w:val="18"/>
          <w:u w:val="single"/>
        </w:rPr>
      </w:pPr>
    </w:p>
    <w:p w14:paraId="566EE2B7" w14:textId="28911EBD" w:rsidR="00B86774" w:rsidRPr="00385A6A" w:rsidRDefault="009A7EB9" w:rsidP="00B86774">
      <w:pPr>
        <w:pStyle w:val="BodyText"/>
        <w:spacing w:before="10" w:line="252" w:lineRule="auto"/>
        <w:ind w:right="99"/>
      </w:pPr>
      <w:r w:rsidRPr="00385A6A">
        <w:t xml:space="preserve">All CTE program development must follow the steps outlined in </w:t>
      </w:r>
      <w:r w:rsidRPr="00385A6A">
        <w:rPr>
          <w:u w:val="single" w:color="0000FF"/>
        </w:rPr>
        <w:t>AP 4020</w:t>
      </w:r>
      <w:r w:rsidR="00A50690" w:rsidRPr="00385A6A">
        <w:rPr>
          <w:u w:val="single" w:color="0000FF"/>
        </w:rPr>
        <w:t>:</w:t>
      </w:r>
      <w:r w:rsidRPr="00385A6A">
        <w:t xml:space="preserve"> Program, Curriculum and Course Development.</w:t>
      </w:r>
      <w:r w:rsidR="00B86774" w:rsidRPr="00385A6A">
        <w:t xml:space="preserve">  However new CTE program development and CTE program review must also include additional elements as stated below</w:t>
      </w:r>
      <w:r w:rsidR="00DE79BA" w:rsidRPr="00385A6A">
        <w:t>; see A and B</w:t>
      </w:r>
      <w:r w:rsidR="00B86774" w:rsidRPr="00385A6A">
        <w:t>.</w:t>
      </w:r>
      <w:r w:rsidR="00DE79BA" w:rsidRPr="00385A6A">
        <w:t xml:space="preserve">  CTE programs must also follow new rules and regulations as established by the California Community College Chancellor’s Office as appropriate.</w:t>
      </w:r>
      <w:r w:rsidR="00B86774" w:rsidRPr="00385A6A">
        <w:t xml:space="preserve">  </w:t>
      </w:r>
    </w:p>
    <w:p w14:paraId="0FA0FD63" w14:textId="77777777" w:rsidR="009D1916" w:rsidRPr="00385A6A" w:rsidRDefault="009D1916">
      <w:pPr>
        <w:pStyle w:val="BodyText"/>
        <w:spacing w:before="10" w:line="252" w:lineRule="auto"/>
        <w:ind w:left="120" w:right="99"/>
      </w:pPr>
    </w:p>
    <w:p w14:paraId="4AF15AEA" w14:textId="516FCE96" w:rsidR="009D1916" w:rsidRPr="00385A6A" w:rsidRDefault="009D1916" w:rsidP="00385A6A">
      <w:pPr>
        <w:pStyle w:val="BodyText"/>
        <w:numPr>
          <w:ilvl w:val="0"/>
          <w:numId w:val="2"/>
        </w:numPr>
        <w:spacing w:before="10" w:line="252" w:lineRule="auto"/>
        <w:ind w:right="99"/>
        <w:rPr>
          <w:u w:val="single"/>
        </w:rPr>
      </w:pPr>
      <w:r w:rsidRPr="00385A6A">
        <w:rPr>
          <w:u w:val="single"/>
        </w:rPr>
        <w:t>New CTE Program Development</w:t>
      </w:r>
    </w:p>
    <w:p w14:paraId="49552396" w14:textId="67025EBC" w:rsidR="00A50690" w:rsidRPr="00385A6A" w:rsidRDefault="00A50690" w:rsidP="00385A6A">
      <w:pPr>
        <w:pStyle w:val="BodyText"/>
        <w:spacing w:before="10" w:line="252" w:lineRule="auto"/>
        <w:ind w:left="480" w:right="99"/>
        <w:rPr>
          <w:u w:val="single"/>
        </w:rPr>
      </w:pPr>
    </w:p>
    <w:p w14:paraId="772B6B42" w14:textId="7C544C3B" w:rsidR="00660A4B" w:rsidRPr="00385A6A" w:rsidRDefault="00500850" w:rsidP="00385A6A">
      <w:pPr>
        <w:pStyle w:val="BodyText"/>
        <w:spacing w:before="10" w:line="252" w:lineRule="auto"/>
        <w:ind w:right="99"/>
      </w:pPr>
      <w:r w:rsidRPr="00385A6A">
        <w:t xml:space="preserve"> N</w:t>
      </w:r>
      <w:r w:rsidR="009D1916" w:rsidRPr="00385A6A">
        <w:t>e</w:t>
      </w:r>
      <w:r w:rsidR="009A7EB9" w:rsidRPr="00385A6A">
        <w:t>w CTE program</w:t>
      </w:r>
      <w:r w:rsidR="00DE79BA" w:rsidRPr="00385A6A">
        <w:t>s</w:t>
      </w:r>
      <w:r w:rsidR="009A7EB9" w:rsidRPr="00385A6A">
        <w:t xml:space="preserve"> </w:t>
      </w:r>
      <w:r w:rsidR="00DE79BA" w:rsidRPr="00385A6A">
        <w:t xml:space="preserve">and substantially revised CTE programs </w:t>
      </w:r>
      <w:r w:rsidR="009A7EB9" w:rsidRPr="00385A6A">
        <w:t xml:space="preserve">must </w:t>
      </w:r>
      <w:r w:rsidR="00AE5645" w:rsidRPr="00385A6A">
        <w:t xml:space="preserve">follow AP 4020 and </w:t>
      </w:r>
      <w:r w:rsidR="009A7EB9" w:rsidRPr="00385A6A">
        <w:t>also include the following:</w:t>
      </w:r>
    </w:p>
    <w:p w14:paraId="57BEA8BA" w14:textId="77777777" w:rsidR="00660A4B" w:rsidRPr="00385A6A" w:rsidRDefault="00660A4B">
      <w:pPr>
        <w:pStyle w:val="BodyText"/>
        <w:spacing w:before="10"/>
      </w:pPr>
    </w:p>
    <w:p w14:paraId="485BDB2F" w14:textId="3510FBB9" w:rsidR="00660A4B" w:rsidRPr="00385A6A" w:rsidRDefault="009A7EB9">
      <w:pPr>
        <w:pStyle w:val="ListParagraph"/>
        <w:numPr>
          <w:ilvl w:val="0"/>
          <w:numId w:val="1"/>
        </w:numPr>
        <w:tabs>
          <w:tab w:val="left" w:pos="364"/>
        </w:tabs>
        <w:spacing w:before="1" w:line="252" w:lineRule="auto"/>
        <w:ind w:firstLine="0"/>
        <w:rPr>
          <w:sz w:val="18"/>
        </w:rPr>
      </w:pPr>
      <w:r w:rsidRPr="00385A6A">
        <w:rPr>
          <w:sz w:val="18"/>
        </w:rPr>
        <w:t xml:space="preserve">South </w:t>
      </w:r>
      <w:r w:rsidR="009D1916" w:rsidRPr="00385A6A">
        <w:rPr>
          <w:sz w:val="18"/>
        </w:rPr>
        <w:t xml:space="preserve">Central </w:t>
      </w:r>
      <w:r w:rsidRPr="00385A6A">
        <w:rPr>
          <w:sz w:val="18"/>
        </w:rPr>
        <w:t xml:space="preserve">Coast Regional Consortium </w:t>
      </w:r>
      <w:r w:rsidR="00A50690" w:rsidRPr="00385A6A">
        <w:rPr>
          <w:sz w:val="18"/>
        </w:rPr>
        <w:t>s</w:t>
      </w:r>
      <w:r w:rsidRPr="00385A6A">
        <w:rPr>
          <w:sz w:val="18"/>
        </w:rPr>
        <w:t>ubmission (S</w:t>
      </w:r>
      <w:r w:rsidR="009D1916" w:rsidRPr="00385A6A">
        <w:rPr>
          <w:sz w:val="18"/>
        </w:rPr>
        <w:t>C</w:t>
      </w:r>
      <w:r w:rsidRPr="00385A6A">
        <w:rPr>
          <w:sz w:val="18"/>
        </w:rPr>
        <w:t xml:space="preserve">CRC):  </w:t>
      </w:r>
      <w:r w:rsidR="00EA1332" w:rsidRPr="00385A6A">
        <w:rPr>
          <w:sz w:val="18"/>
        </w:rPr>
        <w:t xml:space="preserve">Prior to </w:t>
      </w:r>
      <w:r w:rsidRPr="00385A6A">
        <w:rPr>
          <w:sz w:val="18"/>
        </w:rPr>
        <w:t xml:space="preserve">local Board of Trustees approval the proposed CTE program must be submitted to the South </w:t>
      </w:r>
      <w:r w:rsidR="00A50690" w:rsidRPr="00385A6A">
        <w:rPr>
          <w:sz w:val="18"/>
        </w:rPr>
        <w:t xml:space="preserve">Central </w:t>
      </w:r>
      <w:r w:rsidRPr="00385A6A">
        <w:rPr>
          <w:sz w:val="18"/>
        </w:rPr>
        <w:t>Coast Regional Consortium (S</w:t>
      </w:r>
      <w:r w:rsidR="009D1916" w:rsidRPr="00385A6A">
        <w:rPr>
          <w:sz w:val="18"/>
        </w:rPr>
        <w:t>C</w:t>
      </w:r>
      <w:r w:rsidRPr="00385A6A">
        <w:rPr>
          <w:sz w:val="18"/>
        </w:rPr>
        <w:t>CRC) for review and support.</w:t>
      </w:r>
    </w:p>
    <w:p w14:paraId="06F47E55" w14:textId="77777777" w:rsidR="00660A4B" w:rsidRPr="00385A6A" w:rsidRDefault="00660A4B">
      <w:pPr>
        <w:pStyle w:val="BodyText"/>
        <w:rPr>
          <w:sz w:val="19"/>
        </w:rPr>
      </w:pPr>
    </w:p>
    <w:p w14:paraId="6C9F37B3" w14:textId="2D6920C3" w:rsidR="00660A4B" w:rsidRPr="00385A6A" w:rsidRDefault="009A7EB9">
      <w:pPr>
        <w:pStyle w:val="ListParagraph"/>
        <w:numPr>
          <w:ilvl w:val="0"/>
          <w:numId w:val="1"/>
        </w:numPr>
        <w:tabs>
          <w:tab w:val="left" w:pos="365"/>
        </w:tabs>
        <w:spacing w:line="252" w:lineRule="auto"/>
        <w:ind w:right="603" w:firstLine="0"/>
        <w:rPr>
          <w:sz w:val="18"/>
        </w:rPr>
      </w:pPr>
      <w:r w:rsidRPr="00385A6A">
        <w:rPr>
          <w:sz w:val="18"/>
        </w:rPr>
        <w:t>Additional supporting documentation as guided by the most recent Program and Course Approval Handbook, including, but not limited</w:t>
      </w:r>
      <w:r w:rsidRPr="00385A6A">
        <w:rPr>
          <w:spacing w:val="-22"/>
          <w:sz w:val="18"/>
        </w:rPr>
        <w:t xml:space="preserve"> </w:t>
      </w:r>
      <w:r w:rsidRPr="00385A6A">
        <w:rPr>
          <w:sz w:val="18"/>
        </w:rPr>
        <w:t>to:</w:t>
      </w:r>
    </w:p>
    <w:p w14:paraId="583ABD70" w14:textId="77777777" w:rsidR="002C77AB" w:rsidRPr="00385A6A" w:rsidRDefault="002C77AB" w:rsidP="00385A6A">
      <w:pPr>
        <w:pStyle w:val="ListParagraph"/>
        <w:rPr>
          <w:sz w:val="18"/>
        </w:rPr>
      </w:pPr>
    </w:p>
    <w:p w14:paraId="351A97B5" w14:textId="67E5CF86" w:rsidR="002C77AB" w:rsidRPr="00385A6A" w:rsidRDefault="002C77AB" w:rsidP="00385A6A">
      <w:pPr>
        <w:pStyle w:val="ListParagraph"/>
        <w:numPr>
          <w:ilvl w:val="0"/>
          <w:numId w:val="10"/>
        </w:numPr>
        <w:tabs>
          <w:tab w:val="left" w:pos="365"/>
        </w:tabs>
        <w:spacing w:line="252" w:lineRule="auto"/>
        <w:ind w:right="603"/>
        <w:rPr>
          <w:sz w:val="18"/>
        </w:rPr>
      </w:pPr>
      <w:r w:rsidRPr="00385A6A">
        <w:rPr>
          <w:sz w:val="18"/>
        </w:rPr>
        <w:t>Labor Market Information and analysis</w:t>
      </w:r>
    </w:p>
    <w:p w14:paraId="765730BA" w14:textId="44A278DA" w:rsidR="002C77AB" w:rsidRPr="00385A6A" w:rsidRDefault="002C77AB" w:rsidP="00385A6A">
      <w:pPr>
        <w:pStyle w:val="ListParagraph"/>
        <w:numPr>
          <w:ilvl w:val="0"/>
          <w:numId w:val="10"/>
        </w:numPr>
        <w:tabs>
          <w:tab w:val="left" w:pos="365"/>
        </w:tabs>
        <w:spacing w:line="252" w:lineRule="auto"/>
        <w:ind w:right="603"/>
        <w:rPr>
          <w:sz w:val="18"/>
        </w:rPr>
      </w:pPr>
      <w:r w:rsidRPr="00385A6A">
        <w:rPr>
          <w:sz w:val="18"/>
        </w:rPr>
        <w:t>Regional Consortium minutes showing program endorsement</w:t>
      </w:r>
    </w:p>
    <w:p w14:paraId="28032CC6" w14:textId="22C54504" w:rsidR="002C77AB" w:rsidRPr="00385A6A" w:rsidRDefault="002C77AB" w:rsidP="00385A6A">
      <w:pPr>
        <w:pStyle w:val="ListParagraph"/>
        <w:numPr>
          <w:ilvl w:val="0"/>
          <w:numId w:val="10"/>
        </w:numPr>
        <w:tabs>
          <w:tab w:val="left" w:pos="365"/>
        </w:tabs>
        <w:spacing w:line="252" w:lineRule="auto"/>
        <w:ind w:right="603"/>
        <w:rPr>
          <w:sz w:val="18"/>
        </w:rPr>
      </w:pPr>
      <w:r w:rsidRPr="00385A6A">
        <w:rPr>
          <w:sz w:val="18"/>
        </w:rPr>
        <w:t>Membership roster, minutes, and summary of recommendations from the most recent advisory committee meeting</w:t>
      </w:r>
    </w:p>
    <w:p w14:paraId="6347B495" w14:textId="77777777" w:rsidR="00B86774" w:rsidRPr="00385A6A" w:rsidRDefault="00B86774">
      <w:pPr>
        <w:pStyle w:val="BodyText"/>
        <w:ind w:left="120"/>
        <w:rPr>
          <w:u w:val="single"/>
        </w:rPr>
      </w:pPr>
    </w:p>
    <w:p w14:paraId="3536C3E3" w14:textId="05244504" w:rsidR="00660A4B" w:rsidRPr="00385A6A" w:rsidRDefault="009A7EB9" w:rsidP="00385A6A">
      <w:pPr>
        <w:pStyle w:val="BodyText"/>
        <w:numPr>
          <w:ilvl w:val="0"/>
          <w:numId w:val="2"/>
        </w:numPr>
        <w:rPr>
          <w:u w:val="single"/>
        </w:rPr>
      </w:pPr>
      <w:r w:rsidRPr="00385A6A">
        <w:rPr>
          <w:u w:val="single"/>
        </w:rPr>
        <w:t>CTE Program Review</w:t>
      </w:r>
    </w:p>
    <w:p w14:paraId="5B7859E2" w14:textId="4B4CBD3A" w:rsidR="00A50690" w:rsidRPr="00385A6A" w:rsidRDefault="00A50690" w:rsidP="00385A6A">
      <w:pPr>
        <w:pStyle w:val="BodyText"/>
        <w:ind w:left="480"/>
        <w:rPr>
          <w:u w:val="single"/>
        </w:rPr>
      </w:pPr>
    </w:p>
    <w:p w14:paraId="1105B1B6" w14:textId="00217C78" w:rsidR="00660A4B" w:rsidRPr="00385A6A" w:rsidRDefault="009A7EB9">
      <w:pPr>
        <w:pStyle w:val="BodyText"/>
        <w:spacing w:before="10" w:line="252" w:lineRule="auto"/>
        <w:ind w:left="119" w:right="791"/>
      </w:pPr>
      <w:r w:rsidRPr="00385A6A">
        <w:t>CTE program review is required every two years (</w:t>
      </w:r>
      <w:r w:rsidRPr="00385A6A">
        <w:rPr>
          <w:u w:val="single" w:color="0000FF"/>
        </w:rPr>
        <w:t>California Education Code Section 78016</w:t>
      </w:r>
      <w:r w:rsidRPr="00385A6A">
        <w:t xml:space="preserve">), in accordance </w:t>
      </w:r>
      <w:r w:rsidR="009D1916" w:rsidRPr="00385A6A">
        <w:t>with</w:t>
      </w:r>
      <w:r w:rsidR="00AE5645" w:rsidRPr="00385A6A">
        <w:t xml:space="preserve"> AP 4020 and the</w:t>
      </w:r>
      <w:r w:rsidRPr="00385A6A">
        <w:t xml:space="preserve"> established program review practices at each District College. In addition to the </w:t>
      </w:r>
      <w:r w:rsidRPr="00385A6A">
        <w:lastRenderedPageBreak/>
        <w:t xml:space="preserve">established program review elements, the review process must </w:t>
      </w:r>
      <w:r w:rsidR="00A50690" w:rsidRPr="00385A6A">
        <w:t>address</w:t>
      </w:r>
      <w:r w:rsidRPr="00385A6A">
        <w:t>:</w:t>
      </w:r>
    </w:p>
    <w:p w14:paraId="0EF656A4" w14:textId="414B1682" w:rsidR="00A50690" w:rsidRPr="00385A6A" w:rsidRDefault="00A50690" w:rsidP="00385A6A">
      <w:pPr>
        <w:pStyle w:val="BodyText"/>
        <w:numPr>
          <w:ilvl w:val="0"/>
          <w:numId w:val="7"/>
        </w:numPr>
        <w:spacing w:before="10" w:line="252" w:lineRule="auto"/>
        <w:ind w:right="791"/>
      </w:pPr>
      <w:r w:rsidRPr="00385A6A">
        <w:t>Current viability of the CTE program</w:t>
      </w:r>
    </w:p>
    <w:p w14:paraId="78AB4E6B" w14:textId="0C5E1DF9" w:rsidR="00A50690" w:rsidRPr="00385A6A" w:rsidRDefault="00A50690" w:rsidP="00385A6A">
      <w:pPr>
        <w:pStyle w:val="BodyText"/>
        <w:numPr>
          <w:ilvl w:val="0"/>
          <w:numId w:val="7"/>
        </w:numPr>
        <w:spacing w:before="10" w:line="252" w:lineRule="auto"/>
        <w:ind w:right="791"/>
      </w:pPr>
      <w:r w:rsidRPr="00385A6A">
        <w:t>Continuing market relevance</w:t>
      </w:r>
    </w:p>
    <w:p w14:paraId="11B087B1" w14:textId="004F0E0D" w:rsidR="00A50690" w:rsidRPr="00385A6A" w:rsidRDefault="00A50690" w:rsidP="00385A6A">
      <w:pPr>
        <w:pStyle w:val="BodyText"/>
        <w:spacing w:before="10" w:line="252" w:lineRule="auto"/>
        <w:ind w:right="791"/>
      </w:pPr>
      <w:r w:rsidRPr="00385A6A">
        <w:t xml:space="preserve">These two factors are </w:t>
      </w:r>
      <w:r w:rsidR="00385A6A">
        <w:t>satisfied</w:t>
      </w:r>
      <w:r w:rsidRPr="00385A6A">
        <w:t xml:space="preserve"> by, as applicable:</w:t>
      </w:r>
    </w:p>
    <w:p w14:paraId="32E0A017" w14:textId="3F0F6C9B" w:rsidR="00A50690" w:rsidRPr="00385A6A" w:rsidRDefault="00A50690" w:rsidP="00385A6A">
      <w:pPr>
        <w:pStyle w:val="BodyText"/>
        <w:numPr>
          <w:ilvl w:val="0"/>
          <w:numId w:val="8"/>
        </w:numPr>
        <w:spacing w:before="10" w:line="252" w:lineRule="auto"/>
        <w:ind w:right="791"/>
      </w:pPr>
      <w:r w:rsidRPr="00385A6A">
        <w:t>Demonstration of student completion, transfer, and/or demonstration of student success in obtaining employment</w:t>
      </w:r>
    </w:p>
    <w:p w14:paraId="4DC6570A" w14:textId="7ABFB9FA" w:rsidR="00A50690" w:rsidRPr="00385A6A" w:rsidRDefault="00A50690" w:rsidP="00385A6A">
      <w:pPr>
        <w:pStyle w:val="BodyText"/>
        <w:numPr>
          <w:ilvl w:val="0"/>
          <w:numId w:val="8"/>
        </w:numPr>
        <w:spacing w:before="10" w:line="252" w:lineRule="auto"/>
        <w:ind w:right="791"/>
      </w:pPr>
      <w:r w:rsidRPr="00385A6A">
        <w:t>Demonstration of student success in state of regional licensure, certification, or comparable examinations (if applicable)</w:t>
      </w:r>
    </w:p>
    <w:p w14:paraId="284E9EC3" w14:textId="37D81C4B" w:rsidR="00A50690" w:rsidRPr="00385A6A" w:rsidRDefault="00A50690" w:rsidP="00385A6A">
      <w:pPr>
        <w:pStyle w:val="BodyText"/>
        <w:numPr>
          <w:ilvl w:val="0"/>
          <w:numId w:val="8"/>
        </w:numPr>
        <w:spacing w:before="10" w:line="252" w:lineRule="auto"/>
        <w:ind w:right="791"/>
      </w:pPr>
      <w:r w:rsidRPr="00385A6A">
        <w:t>Continuing review by Advisory Committee identifying skills and competencies needed in the local workforce</w:t>
      </w:r>
    </w:p>
    <w:p w14:paraId="78C24A80" w14:textId="5C297252" w:rsidR="00A50690" w:rsidRPr="00385A6A" w:rsidRDefault="00A50690" w:rsidP="00385A6A">
      <w:pPr>
        <w:pStyle w:val="BodyText"/>
        <w:numPr>
          <w:ilvl w:val="0"/>
          <w:numId w:val="8"/>
        </w:numPr>
        <w:spacing w:before="10" w:line="252" w:lineRule="auto"/>
        <w:ind w:right="791"/>
      </w:pPr>
      <w:r w:rsidRPr="00385A6A">
        <w:t>Does not represent unnecessary duplication of similar career programs in the area</w:t>
      </w:r>
    </w:p>
    <w:p w14:paraId="081267EC" w14:textId="0D103A95" w:rsidR="00B86774" w:rsidRPr="00385A6A" w:rsidRDefault="00A50690" w:rsidP="00B86774">
      <w:pPr>
        <w:pStyle w:val="BodyText"/>
        <w:spacing w:before="191"/>
        <w:ind w:left="120"/>
        <w:rPr>
          <w:u w:val="single"/>
        </w:rPr>
      </w:pPr>
      <w:r w:rsidRPr="00385A6A">
        <w:rPr>
          <w:u w:val="single"/>
        </w:rPr>
        <w:t>I</w:t>
      </w:r>
      <w:r w:rsidR="00B86774" w:rsidRPr="00385A6A">
        <w:rPr>
          <w:u w:val="single"/>
        </w:rPr>
        <w:t>I</w:t>
      </w:r>
      <w:r w:rsidR="00B86774" w:rsidRPr="00385A6A">
        <w:rPr>
          <w:u w:val="single"/>
        </w:rPr>
        <w:tab/>
        <w:t>CTE Advisory Committees</w:t>
      </w:r>
    </w:p>
    <w:p w14:paraId="4529764A" w14:textId="77777777" w:rsidR="00B86774" w:rsidRPr="00385A6A" w:rsidRDefault="00B86774" w:rsidP="00B86774">
      <w:pPr>
        <w:pStyle w:val="BodyText"/>
        <w:spacing w:before="10" w:line="252" w:lineRule="auto"/>
        <w:ind w:left="120" w:right="268"/>
      </w:pPr>
    </w:p>
    <w:p w14:paraId="62ABDF81" w14:textId="6B25F66F" w:rsidR="00B86774" w:rsidRPr="00385A6A" w:rsidRDefault="00B86774" w:rsidP="00B86774">
      <w:pPr>
        <w:pStyle w:val="BodyText"/>
        <w:spacing w:before="10" w:line="252" w:lineRule="auto"/>
        <w:ind w:left="120" w:right="268"/>
      </w:pPr>
      <w:r w:rsidRPr="00385A6A">
        <w:t xml:space="preserve">Members of CTE Advisory Committees shall be employees selected from business or industry related to the program, high school/university representatives, students or alumni of the </w:t>
      </w:r>
      <w:r w:rsidRPr="00B44A5F">
        <w:t>program,</w:t>
      </w:r>
      <w:r w:rsidR="002C77AB" w:rsidRPr="00B44A5F">
        <w:t xml:space="preserve"> </w:t>
      </w:r>
      <w:r w:rsidR="00C15B0A" w:rsidRPr="00B44A5F">
        <w:t xml:space="preserve">parents of students, representatives of labor organizations, </w:t>
      </w:r>
      <w:r w:rsidR="002C77AB" w:rsidRPr="00B44A5F">
        <w:t>Deputy Sector Navi</w:t>
      </w:r>
      <w:r w:rsidR="002C77AB" w:rsidRPr="00385A6A">
        <w:t>gators (DSNs),</w:t>
      </w:r>
      <w:r w:rsidRPr="00385A6A">
        <w:t xml:space="preserve"> or other interested individuals with expertise in the area, or agency representatives. A balance should exist of faculty and staff representatives and together </w:t>
      </w:r>
      <w:r w:rsidR="00B44A5F">
        <w:t>the faculty and staff</w:t>
      </w:r>
      <w:bookmarkStart w:id="0" w:name="_GoBack"/>
      <w:bookmarkEnd w:id="0"/>
      <w:r w:rsidRPr="00385A6A">
        <w:t xml:space="preserve"> should be no more than 20% of the committee membership. Advisory committees must meet at least once a year.</w:t>
      </w:r>
    </w:p>
    <w:p w14:paraId="0997AEFB" w14:textId="77777777" w:rsidR="00C15B0A" w:rsidRDefault="00C15B0A">
      <w:pPr>
        <w:pStyle w:val="BodyText"/>
        <w:spacing w:before="3"/>
        <w:rPr>
          <w:b/>
          <w:bCs/>
        </w:rPr>
      </w:pPr>
    </w:p>
    <w:p w14:paraId="73069D59" w14:textId="555B35F9" w:rsidR="00B86774" w:rsidRPr="00385A6A" w:rsidRDefault="00500850">
      <w:pPr>
        <w:pStyle w:val="BodyText"/>
        <w:spacing w:before="3"/>
        <w:rPr>
          <w:u w:val="single"/>
        </w:rPr>
      </w:pPr>
      <w:r w:rsidRPr="00385A6A">
        <w:rPr>
          <w:u w:val="single"/>
        </w:rPr>
        <w:t>III</w:t>
      </w:r>
      <w:r w:rsidRPr="00385A6A">
        <w:rPr>
          <w:u w:val="single"/>
        </w:rPr>
        <w:tab/>
        <w:t>CTE Gainful Employment P</w:t>
      </w:r>
      <w:r w:rsidR="00B86774" w:rsidRPr="00385A6A">
        <w:rPr>
          <w:u w:val="single"/>
        </w:rPr>
        <w:t>rograms</w:t>
      </w:r>
    </w:p>
    <w:p w14:paraId="5B715BF6" w14:textId="4AC7B860" w:rsidR="00B86774" w:rsidRPr="00385A6A" w:rsidRDefault="00B86774">
      <w:pPr>
        <w:pStyle w:val="BodyText"/>
        <w:spacing w:before="3"/>
        <w:rPr>
          <w:sz w:val="27"/>
        </w:rPr>
      </w:pPr>
    </w:p>
    <w:p w14:paraId="5C4E842F" w14:textId="77777777" w:rsidR="00660A4B" w:rsidRPr="00385A6A" w:rsidRDefault="009A7EB9">
      <w:pPr>
        <w:pStyle w:val="Heading1"/>
        <w:spacing w:line="273" w:lineRule="auto"/>
      </w:pPr>
      <w:r w:rsidRPr="00385A6A">
        <w:t>Consistent with federal regulations pertaining to federal financial aid eligibility, the Chief Instructional Officer will ensure that the District complies with the United States Department of Education’s disclosure requirements for each of the District’s gainful employment programs, by disclosing federally-mandated information about the programs to prospective students. The District shall make the required disclosures available to prospective students in promotional materials and on its website.</w:t>
      </w:r>
    </w:p>
    <w:p w14:paraId="4B31D4F1" w14:textId="77777777" w:rsidR="00660A4B" w:rsidRPr="00385A6A" w:rsidRDefault="00660A4B">
      <w:pPr>
        <w:pStyle w:val="BodyText"/>
        <w:spacing w:before="10"/>
        <w:rPr>
          <w:rFonts w:ascii="Arial"/>
          <w:sz w:val="11"/>
        </w:rPr>
      </w:pPr>
    </w:p>
    <w:p w14:paraId="51C30188" w14:textId="77777777" w:rsidR="00660A4B" w:rsidRPr="00385A6A" w:rsidRDefault="009A7EB9">
      <w:pPr>
        <w:spacing w:before="94" w:line="273" w:lineRule="auto"/>
        <w:ind w:left="100"/>
        <w:rPr>
          <w:rFonts w:ascii="Arial"/>
          <w:sz w:val="21"/>
        </w:rPr>
      </w:pPr>
      <w:r w:rsidRPr="00385A6A">
        <w:rPr>
          <w:rFonts w:ascii="Arial"/>
          <w:sz w:val="21"/>
        </w:rPr>
        <w:t>The Chief Instructional Officer shall establish procedures to ensure that the District meets these reporting requirements whenever the District intends to add a new gainful employment program.</w:t>
      </w:r>
    </w:p>
    <w:p w14:paraId="51AEAD6C" w14:textId="77777777" w:rsidR="00660A4B" w:rsidRPr="00385A6A" w:rsidRDefault="00660A4B">
      <w:pPr>
        <w:pStyle w:val="BodyText"/>
        <w:rPr>
          <w:rFonts w:ascii="Arial"/>
          <w:sz w:val="22"/>
        </w:rPr>
      </w:pPr>
    </w:p>
    <w:p w14:paraId="4AAEC519" w14:textId="77777777" w:rsidR="00B86774" w:rsidRPr="00385A6A" w:rsidRDefault="00B86774" w:rsidP="00B86774">
      <w:pPr>
        <w:pStyle w:val="BodyText"/>
        <w:rPr>
          <w:sz w:val="19"/>
        </w:rPr>
      </w:pPr>
    </w:p>
    <w:p w14:paraId="353FF52E" w14:textId="77777777" w:rsidR="00660A4B" w:rsidRPr="00385A6A" w:rsidRDefault="00660A4B">
      <w:pPr>
        <w:pStyle w:val="BodyText"/>
        <w:rPr>
          <w:rFonts w:ascii="Arial"/>
          <w:sz w:val="22"/>
        </w:rPr>
      </w:pPr>
    </w:p>
    <w:p w14:paraId="71ADC398" w14:textId="77777777" w:rsidR="00660A4B" w:rsidRPr="00385A6A" w:rsidRDefault="00660A4B">
      <w:pPr>
        <w:pStyle w:val="BodyText"/>
        <w:rPr>
          <w:rFonts w:ascii="Arial"/>
          <w:sz w:val="22"/>
        </w:rPr>
      </w:pPr>
    </w:p>
    <w:p w14:paraId="32358EE9" w14:textId="77777777" w:rsidR="00660A4B" w:rsidRPr="00385A6A" w:rsidRDefault="00660A4B">
      <w:pPr>
        <w:pStyle w:val="BodyText"/>
        <w:spacing w:before="8"/>
        <w:rPr>
          <w:rFonts w:ascii="Arial"/>
          <w:color w:val="00B050"/>
          <w:sz w:val="21"/>
        </w:rPr>
      </w:pPr>
    </w:p>
    <w:p w14:paraId="4BB861AD" w14:textId="77777777" w:rsidR="00660A4B" w:rsidRPr="00385A6A" w:rsidRDefault="009A7EB9">
      <w:pPr>
        <w:pStyle w:val="BodyText"/>
        <w:ind w:left="100"/>
        <w:rPr>
          <w:color w:val="00B050"/>
        </w:rPr>
      </w:pPr>
      <w:r w:rsidRPr="00385A6A">
        <w:rPr>
          <w:color w:val="00B050"/>
        </w:rPr>
        <w:t>Last Modified by Andrea Rambo on July 6, 2017</w:t>
      </w:r>
    </w:p>
    <w:sectPr w:rsidR="00660A4B" w:rsidRPr="00385A6A">
      <w:pgSz w:w="12240" w:h="15840"/>
      <w:pgMar w:top="640" w:right="10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73D"/>
    <w:multiLevelType w:val="hybridMultilevel"/>
    <w:tmpl w:val="DA50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C1A21"/>
    <w:multiLevelType w:val="hybridMultilevel"/>
    <w:tmpl w:val="1C08A20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23EF4386"/>
    <w:multiLevelType w:val="hybridMultilevel"/>
    <w:tmpl w:val="67EE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92CCF"/>
    <w:multiLevelType w:val="hybridMultilevel"/>
    <w:tmpl w:val="9BDC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330CD5"/>
    <w:multiLevelType w:val="hybridMultilevel"/>
    <w:tmpl w:val="CD96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7B5453"/>
    <w:multiLevelType w:val="hybridMultilevel"/>
    <w:tmpl w:val="5758336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6" w15:restartNumberingAfterBreak="0">
    <w:nsid w:val="5A9D7A8D"/>
    <w:multiLevelType w:val="hybridMultilevel"/>
    <w:tmpl w:val="E116AE5A"/>
    <w:lvl w:ilvl="0" w:tplc="5462B7FC">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62DD7515"/>
    <w:multiLevelType w:val="hybridMultilevel"/>
    <w:tmpl w:val="DB12EBF2"/>
    <w:lvl w:ilvl="0" w:tplc="55749994">
      <w:start w:val="1"/>
      <w:numFmt w:val="decimal"/>
      <w:lvlText w:val="%1."/>
      <w:lvlJc w:val="left"/>
      <w:pPr>
        <w:ind w:left="120" w:hanging="244"/>
      </w:pPr>
      <w:rPr>
        <w:rFonts w:ascii="Verdana" w:eastAsia="Verdana" w:hAnsi="Verdana" w:cs="Verdana" w:hint="default"/>
        <w:spacing w:val="-3"/>
        <w:w w:val="99"/>
        <w:sz w:val="18"/>
        <w:szCs w:val="18"/>
      </w:rPr>
    </w:lvl>
    <w:lvl w:ilvl="1" w:tplc="57666DE6">
      <w:numFmt w:val="bullet"/>
      <w:lvlText w:val="•"/>
      <w:lvlJc w:val="left"/>
      <w:pPr>
        <w:ind w:left="1192" w:hanging="244"/>
      </w:pPr>
      <w:rPr>
        <w:rFonts w:hint="default"/>
      </w:rPr>
    </w:lvl>
    <w:lvl w:ilvl="2" w:tplc="AB325268">
      <w:numFmt w:val="bullet"/>
      <w:lvlText w:val="•"/>
      <w:lvlJc w:val="left"/>
      <w:pPr>
        <w:ind w:left="2264" w:hanging="244"/>
      </w:pPr>
      <w:rPr>
        <w:rFonts w:hint="default"/>
      </w:rPr>
    </w:lvl>
    <w:lvl w:ilvl="3" w:tplc="D2CA307E">
      <w:numFmt w:val="bullet"/>
      <w:lvlText w:val="•"/>
      <w:lvlJc w:val="left"/>
      <w:pPr>
        <w:ind w:left="3336" w:hanging="244"/>
      </w:pPr>
      <w:rPr>
        <w:rFonts w:hint="default"/>
      </w:rPr>
    </w:lvl>
    <w:lvl w:ilvl="4" w:tplc="D25E1AE8">
      <w:numFmt w:val="bullet"/>
      <w:lvlText w:val="•"/>
      <w:lvlJc w:val="left"/>
      <w:pPr>
        <w:ind w:left="4408" w:hanging="244"/>
      </w:pPr>
      <w:rPr>
        <w:rFonts w:hint="default"/>
      </w:rPr>
    </w:lvl>
    <w:lvl w:ilvl="5" w:tplc="9D58EAA6">
      <w:numFmt w:val="bullet"/>
      <w:lvlText w:val="•"/>
      <w:lvlJc w:val="left"/>
      <w:pPr>
        <w:ind w:left="5480" w:hanging="244"/>
      </w:pPr>
      <w:rPr>
        <w:rFonts w:hint="default"/>
      </w:rPr>
    </w:lvl>
    <w:lvl w:ilvl="6" w:tplc="70421DE6">
      <w:numFmt w:val="bullet"/>
      <w:lvlText w:val="•"/>
      <w:lvlJc w:val="left"/>
      <w:pPr>
        <w:ind w:left="6552" w:hanging="244"/>
      </w:pPr>
      <w:rPr>
        <w:rFonts w:hint="default"/>
      </w:rPr>
    </w:lvl>
    <w:lvl w:ilvl="7" w:tplc="72DE35A6">
      <w:numFmt w:val="bullet"/>
      <w:lvlText w:val="•"/>
      <w:lvlJc w:val="left"/>
      <w:pPr>
        <w:ind w:left="7624" w:hanging="244"/>
      </w:pPr>
      <w:rPr>
        <w:rFonts w:hint="default"/>
      </w:rPr>
    </w:lvl>
    <w:lvl w:ilvl="8" w:tplc="B150FF6A">
      <w:numFmt w:val="bullet"/>
      <w:lvlText w:val="•"/>
      <w:lvlJc w:val="left"/>
      <w:pPr>
        <w:ind w:left="8696" w:hanging="244"/>
      </w:pPr>
      <w:rPr>
        <w:rFonts w:hint="default"/>
      </w:rPr>
    </w:lvl>
  </w:abstractNum>
  <w:abstractNum w:abstractNumId="8" w15:restartNumberingAfterBreak="0">
    <w:nsid w:val="67AE3FB1"/>
    <w:multiLevelType w:val="hybridMultilevel"/>
    <w:tmpl w:val="31D66150"/>
    <w:lvl w:ilvl="0" w:tplc="57666DE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AE2B09"/>
    <w:multiLevelType w:val="hybridMultilevel"/>
    <w:tmpl w:val="65A6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2"/>
  </w:num>
  <w:num w:numId="5">
    <w:abstractNumId w:val="0"/>
  </w:num>
  <w:num w:numId="6">
    <w:abstractNumId w:val="4"/>
  </w:num>
  <w:num w:numId="7">
    <w:abstractNumId w:val="5"/>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4B"/>
    <w:rsid w:val="001257DD"/>
    <w:rsid w:val="002C77AB"/>
    <w:rsid w:val="00385A6A"/>
    <w:rsid w:val="00500850"/>
    <w:rsid w:val="00660A4B"/>
    <w:rsid w:val="00701B23"/>
    <w:rsid w:val="00791618"/>
    <w:rsid w:val="009A7EB9"/>
    <w:rsid w:val="009D1916"/>
    <w:rsid w:val="00A50690"/>
    <w:rsid w:val="00AE5645"/>
    <w:rsid w:val="00B44A5F"/>
    <w:rsid w:val="00B86774"/>
    <w:rsid w:val="00BA533D"/>
    <w:rsid w:val="00C15B0A"/>
    <w:rsid w:val="00DE79BA"/>
    <w:rsid w:val="00EA1332"/>
    <w:rsid w:val="00EC5AC8"/>
    <w:rsid w:val="00FF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6CD35"/>
  <w15:docId w15:val="{379C7CE9-E0DB-4D6E-87C4-A63705FF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spacing w:before="93"/>
      <w:ind w:left="100"/>
      <w:outlineLvl w:val="0"/>
    </w:pPr>
    <w:rPr>
      <w:rFonts w:ascii="Arial" w:eastAsia="Arial" w:hAnsi="Arial" w:cs="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20" w:right="24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A1332"/>
    <w:rPr>
      <w:rFonts w:ascii="Tahoma" w:hAnsi="Tahoma" w:cs="Tahoma"/>
      <w:sz w:val="16"/>
      <w:szCs w:val="16"/>
    </w:rPr>
  </w:style>
  <w:style w:type="character" w:customStyle="1" w:styleId="BalloonTextChar">
    <w:name w:val="Balloon Text Char"/>
    <w:basedOn w:val="DefaultParagraphFont"/>
    <w:link w:val="BalloonText"/>
    <w:uiPriority w:val="99"/>
    <w:semiHidden/>
    <w:rsid w:val="00EA1332"/>
    <w:rPr>
      <w:rFonts w:ascii="Tahoma" w:eastAsia="Verdana" w:hAnsi="Tahoma" w:cs="Tahoma"/>
      <w:sz w:val="16"/>
      <w:szCs w:val="16"/>
    </w:rPr>
  </w:style>
  <w:style w:type="paragraph" w:styleId="Revision">
    <w:name w:val="Revision"/>
    <w:hidden/>
    <w:uiPriority w:val="99"/>
    <w:semiHidden/>
    <w:rsid w:val="002C77AB"/>
    <w:pPr>
      <w:widowControl/>
      <w:autoSpaceDE/>
      <w:autoSpaceDN/>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BoardDocs® Pro</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BoardDocs® Pro</dc:title>
  <dc:creator>arambo</dc:creator>
  <cp:lastModifiedBy>Nenagh Brown</cp:lastModifiedBy>
  <cp:revision>2</cp:revision>
  <dcterms:created xsi:type="dcterms:W3CDTF">2018-03-23T20:13:00Z</dcterms:created>
  <dcterms:modified xsi:type="dcterms:W3CDTF">2018-03-23T20:13:00Z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PScript5.dll Version 5.2.2</vt:lpwstr>
  </property>
  <property fmtid="{D5CDD505-2E9C-101B-9397-08002B2CF9AE}" pid="4" name="LastSaved">
    <vt:filetime>2017-11-30T00:00:00Z</vt:filetime>
  </property>
</Properties>
</file>