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05-08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445092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Minutes</w:t>
      </w:r>
    </w:p>
    <w:p w:rsidR="00F931B0" w:rsidRDefault="002677CF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August 24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10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2677CF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 xml:space="preserve">0 PM – </w:t>
      </w:r>
      <w:r w:rsidR="002677CF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>:</w:t>
      </w:r>
      <w:r w:rsidR="002677CF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>, 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710"/>
        <w:gridCol w:w="810"/>
        <w:gridCol w:w="1080"/>
        <w:gridCol w:w="990"/>
        <w:gridCol w:w="2610"/>
        <w:gridCol w:w="2250"/>
        <w:gridCol w:w="810"/>
        <w:gridCol w:w="1890"/>
      </w:tblGrid>
      <w:tr w:rsidR="00F04FC5" w:rsidTr="005A51F2">
        <w:trPr>
          <w:trHeight w:val="233"/>
        </w:trPr>
        <w:tc>
          <w:tcPr>
            <w:tcW w:w="12348" w:type="dxa"/>
            <w:gridSpan w:val="8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Standing Members</w:t>
            </w:r>
          </w:p>
        </w:tc>
        <w:tc>
          <w:tcPr>
            <w:tcW w:w="1890" w:type="dxa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201183" w:rsidRPr="00681759" w:rsidTr="00F04FC5">
        <w:trPr>
          <w:trHeight w:val="305"/>
        </w:trPr>
        <w:tc>
          <w:tcPr>
            <w:tcW w:w="2088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Deans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01183" w:rsidRPr="00681759" w:rsidRDefault="00201183" w:rsidP="00F87FC4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Coord</w:t>
            </w:r>
            <w:proofErr w:type="spellEnd"/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&amp; Dept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Chairs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16B24" w:rsidRPr="00681759" w:rsidTr="00CA6B61">
        <w:trPr>
          <w:trHeight w:val="233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2009</w:t>
            </w:r>
            <w:r w:rsidRPr="00681759">
              <w:rPr>
                <w:sz w:val="16"/>
                <w:szCs w:val="20"/>
              </w:rPr>
              <w:t>-20</w:t>
            </w:r>
            <w:r>
              <w:rPr>
                <w:sz w:val="16"/>
                <w:szCs w:val="20"/>
              </w:rPr>
              <w:t>11</w:t>
            </w:r>
          </w:p>
          <w:p w:rsidR="00516B24" w:rsidRPr="00681759" w:rsidRDefault="00516B24" w:rsidP="008F1F0D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ED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Miller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Pr="00681759" w:rsidRDefault="00516B24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516B24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516B24" w:rsidRPr="00836A0D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</w:p>
          <w:p w:rsidR="00516B24" w:rsidRDefault="00516B24" w:rsidP="00836A0D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Lee Ballestero</w:t>
            </w:r>
          </w:p>
          <w:p w:rsidR="00516B24" w:rsidRDefault="00516B24" w:rsidP="00836A0D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Ray Zhang</w:t>
            </w:r>
          </w:p>
          <w:p w:rsidR="00516B24" w:rsidRDefault="00516B24" w:rsidP="00836A0D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Rob Keil</w:t>
            </w:r>
          </w:p>
          <w:p w:rsidR="00516B24" w:rsidRDefault="00516B24" w:rsidP="00836A0D">
            <w:pPr>
              <w:rPr>
                <w:rFonts w:cs="Arial"/>
                <w:sz w:val="20"/>
                <w:szCs w:val="16"/>
              </w:rPr>
            </w:pPr>
          </w:p>
          <w:p w:rsidR="00516B24" w:rsidRDefault="00516B24" w:rsidP="00836A0D">
            <w:pPr>
              <w:rPr>
                <w:rFonts w:cs="Arial"/>
                <w:sz w:val="20"/>
                <w:szCs w:val="16"/>
              </w:rPr>
            </w:pPr>
          </w:p>
          <w:p w:rsidR="00516B24" w:rsidRDefault="00516B24" w:rsidP="00836A0D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Mary LaBarge for Faten</w:t>
            </w:r>
          </w:p>
          <w:p w:rsidR="00516B24" w:rsidRPr="00836A0D" w:rsidRDefault="00516B24" w:rsidP="00836A0D">
            <w:pPr>
              <w:rPr>
                <w:rFonts w:cs="Arial"/>
                <w:sz w:val="20"/>
                <w:szCs w:val="16"/>
              </w:rPr>
            </w:pPr>
          </w:p>
        </w:tc>
      </w:tr>
      <w:tr w:rsidR="00516B24" w:rsidRPr="00681759" w:rsidTr="00F04FC5">
        <w:trPr>
          <w:trHeight w:val="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Corey Wendt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CA6B61">
        <w:trPr>
          <w:trHeight w:val="242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2011-2013</w:t>
            </w:r>
          </w:p>
          <w:p w:rsidR="00516B24" w:rsidRPr="00681759" w:rsidRDefault="00516B24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 CAP Co-Chair 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</w:t>
            </w:r>
            <w:proofErr w:type="spellStart"/>
            <w:r w:rsidRPr="00681759">
              <w:rPr>
                <w:sz w:val="16"/>
                <w:szCs w:val="20"/>
              </w:rPr>
              <w:t>Comm</w:t>
            </w:r>
            <w:proofErr w:type="spellEnd"/>
            <w:r w:rsidRPr="00681759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Pr="00681759" w:rsidRDefault="00516B24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Rolland Petrello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0D20F1">
        <w:trPr>
          <w:trHeight w:val="1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Margaret </w:t>
            </w:r>
            <w:proofErr w:type="spellStart"/>
            <w:r>
              <w:rPr>
                <w:sz w:val="16"/>
                <w:szCs w:val="12"/>
              </w:rPr>
              <w:t>Tennent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Pr="00681759" w:rsidRDefault="00516B24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Traci Allen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F04FC5">
        <w:trPr>
          <w:trHeight w:val="170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 Knudson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Paul Pagson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7B57CA">
        <w:trPr>
          <w:trHeight w:val="233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Acad</w:t>
            </w:r>
            <w:proofErr w:type="spellEnd"/>
            <w:r>
              <w:rPr>
                <w:sz w:val="16"/>
                <w:szCs w:val="20"/>
              </w:rPr>
              <w:t xml:space="preserve">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Riley Dwyer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445092">
        <w:trPr>
          <w:trHeight w:val="135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Classified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Watters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Student Health </w:t>
            </w:r>
            <w:proofErr w:type="spellStart"/>
            <w:r>
              <w:rPr>
                <w:sz w:val="16"/>
                <w:szCs w:val="20"/>
              </w:rPr>
              <w:t>C</w:t>
            </w:r>
            <w:r w:rsidRPr="00681759">
              <w:rPr>
                <w:sz w:val="16"/>
                <w:szCs w:val="20"/>
              </w:rPr>
              <w:t>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445092">
        <w:trPr>
          <w:trHeight w:val="134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CIS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Pr="00B341CB" w:rsidRDefault="00516B24" w:rsidP="0038147C">
            <w:pPr>
              <w:rPr>
                <w:sz w:val="16"/>
                <w:szCs w:val="12"/>
              </w:rPr>
            </w:pPr>
            <w:r w:rsidRPr="00B341CB">
              <w:rPr>
                <w:sz w:val="16"/>
                <w:szCs w:val="12"/>
              </w:rPr>
              <w:t>Mary Mills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445092">
        <w:trPr>
          <w:trHeight w:val="152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Colborn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445092">
        <w:trPr>
          <w:trHeight w:val="197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D. Perry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445092">
        <w:trPr>
          <w:trHeight w:val="152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 Research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Habib/Mary LaBarge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445092">
        <w:trPr>
          <w:trHeight w:val="98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 Students Rep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516B24" w:rsidRDefault="00516B24" w:rsidP="006B103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Tiffany </w:t>
            </w:r>
            <w:proofErr w:type="spellStart"/>
            <w:r>
              <w:rPr>
                <w:sz w:val="16"/>
                <w:szCs w:val="20"/>
              </w:rPr>
              <w:t>Uichanko</w:t>
            </w:r>
            <w:proofErr w:type="spellEnd"/>
          </w:p>
          <w:p w:rsidR="00516B24" w:rsidRDefault="00516B24" w:rsidP="006B103D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Arshia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Malekzadeh</w:t>
            </w:r>
            <w:proofErr w:type="spellEnd"/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  <w:p w:rsidR="00516B24" w:rsidRPr="0036296F" w:rsidRDefault="00516B2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Child Dev </w:t>
            </w:r>
            <w:proofErr w:type="spellStart"/>
            <w:r>
              <w:rPr>
                <w:sz w:val="16"/>
                <w:szCs w:val="20"/>
              </w:rPr>
              <w:t>Ctr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Sheaks-McGowan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445092">
        <w:trPr>
          <w:trHeight w:val="64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Digital and Media Arts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Steve Callis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445092">
        <w:trPr>
          <w:trHeight w:val="152"/>
        </w:trPr>
        <w:tc>
          <w:tcPr>
            <w:tcW w:w="4608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16B24" w:rsidRPr="00681759" w:rsidRDefault="00516B24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Tim Stewart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445092">
        <w:trPr>
          <w:trHeight w:val="215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445092">
        <w:trPr>
          <w:trHeight w:val="134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Baker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445092">
        <w:trPr>
          <w:trHeight w:val="186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445092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Miller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Deanna Franke/ Robert Keil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445092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Computer Science/CNSE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Martin Chetlen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445092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445092">
        <w:trPr>
          <w:trHeight w:val="152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Clint Harper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445092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Athletics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Howard Davis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445092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Barnett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445092">
        <w:trPr>
          <w:trHeight w:val="1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Business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Tim Weaver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445092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History/Institutions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Pr="003B2108" w:rsidRDefault="00516B24" w:rsidP="003814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Ranford Hopkins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445092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Physical Ed/Health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2430"/>
        <w:gridCol w:w="2610"/>
        <w:gridCol w:w="2520"/>
        <w:gridCol w:w="2880"/>
      </w:tblGrid>
      <w:tr w:rsidR="008D082A" w:rsidTr="005A51F2">
        <w:tc>
          <w:tcPr>
            <w:tcW w:w="325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43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09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52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Meeting Calendar 0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88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380F33">
        <w:trPr>
          <w:trHeight w:val="170"/>
        </w:trPr>
        <w:tc>
          <w:tcPr>
            <w:tcW w:w="3258" w:type="dxa"/>
          </w:tcPr>
          <w:p w:rsidR="007E493F" w:rsidRPr="00785778" w:rsidRDefault="007E493F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Minutes from </w:t>
            </w:r>
            <w:r w:rsidR="000D20F1">
              <w:rPr>
                <w:sz w:val="16"/>
                <w:szCs w:val="16"/>
              </w:rPr>
              <w:t xml:space="preserve">April </w:t>
            </w:r>
            <w:r>
              <w:rPr>
                <w:sz w:val="16"/>
                <w:szCs w:val="16"/>
              </w:rPr>
              <w:t>, 20</w:t>
            </w:r>
            <w:r w:rsidR="00BF342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Meeting</w:t>
            </w:r>
          </w:p>
        </w:tc>
        <w:tc>
          <w:tcPr>
            <w:tcW w:w="2430" w:type="dxa"/>
          </w:tcPr>
          <w:p w:rsidR="007E493F" w:rsidRPr="000D20F1" w:rsidRDefault="007E493F" w:rsidP="000D20F1">
            <w:pPr>
              <w:rPr>
                <w:sz w:val="16"/>
                <w:szCs w:val="16"/>
              </w:rPr>
            </w:pPr>
            <w:r w:rsidRPr="000D20F1">
              <w:rPr>
                <w:sz w:val="16"/>
                <w:szCs w:val="16"/>
              </w:rPr>
              <w:t>August 2</w:t>
            </w:r>
            <w:r w:rsidR="000D20F1">
              <w:rPr>
                <w:sz w:val="16"/>
                <w:szCs w:val="16"/>
              </w:rPr>
              <w:t>4</w:t>
            </w:r>
            <w:r w:rsidRPr="000D20F1">
              <w:rPr>
                <w:sz w:val="16"/>
                <w:szCs w:val="16"/>
              </w:rPr>
              <w:t>, 2009</w:t>
            </w:r>
          </w:p>
        </w:tc>
        <w:tc>
          <w:tcPr>
            <w:tcW w:w="261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</w:t>
            </w:r>
          </w:p>
        </w:tc>
        <w:tc>
          <w:tcPr>
            <w:tcW w:w="2520" w:type="dxa"/>
          </w:tcPr>
          <w:p w:rsidR="007E493F" w:rsidRPr="000D20F1" w:rsidRDefault="000D20F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25</w:t>
            </w:r>
            <w:r w:rsidR="007E493F" w:rsidRPr="000D20F1">
              <w:rPr>
                <w:sz w:val="16"/>
                <w:szCs w:val="16"/>
              </w:rPr>
              <w:t>, 2010</w:t>
            </w:r>
          </w:p>
        </w:tc>
        <w:tc>
          <w:tcPr>
            <w:tcW w:w="2880" w:type="dxa"/>
          </w:tcPr>
          <w:p w:rsidR="007E493F" w:rsidRPr="00785778" w:rsidRDefault="007E493F" w:rsidP="009658C1">
            <w:pPr>
              <w:rPr>
                <w:sz w:val="16"/>
                <w:szCs w:val="16"/>
              </w:rPr>
            </w:pPr>
          </w:p>
        </w:tc>
      </w:tr>
      <w:tr w:rsidR="007E493F" w:rsidRPr="00785778" w:rsidTr="00380F33">
        <w:tc>
          <w:tcPr>
            <w:tcW w:w="3258" w:type="dxa"/>
          </w:tcPr>
          <w:p w:rsidR="007E493F" w:rsidRPr="00785778" w:rsidRDefault="00516B24" w:rsidP="009B0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Paper on Peer Program Review</w:t>
            </w:r>
          </w:p>
        </w:tc>
        <w:tc>
          <w:tcPr>
            <w:tcW w:w="2430" w:type="dxa"/>
          </w:tcPr>
          <w:p w:rsidR="007E493F" w:rsidRPr="000D20F1" w:rsidRDefault="000D20F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28</w:t>
            </w:r>
            <w:r w:rsidR="007E493F" w:rsidRPr="000D20F1">
              <w:rPr>
                <w:sz w:val="16"/>
                <w:szCs w:val="16"/>
              </w:rPr>
              <w:t>, 2009</w:t>
            </w:r>
          </w:p>
        </w:tc>
        <w:tc>
          <w:tcPr>
            <w:tcW w:w="2610" w:type="dxa"/>
          </w:tcPr>
          <w:p w:rsidR="007E493F" w:rsidRPr="00785778" w:rsidRDefault="000D20F1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 </w:t>
            </w:r>
            <w:r w:rsidR="007E493F">
              <w:rPr>
                <w:sz w:val="16"/>
                <w:szCs w:val="16"/>
              </w:rPr>
              <w:t xml:space="preserve">Plan </w:t>
            </w:r>
            <w:r>
              <w:rPr>
                <w:sz w:val="16"/>
                <w:szCs w:val="16"/>
              </w:rPr>
              <w:t>Revise</w:t>
            </w:r>
            <w:r w:rsidR="007E493F">
              <w:rPr>
                <w:sz w:val="16"/>
                <w:szCs w:val="16"/>
              </w:rPr>
              <w:t xml:space="preserve"> Due</w:t>
            </w:r>
          </w:p>
        </w:tc>
        <w:tc>
          <w:tcPr>
            <w:tcW w:w="2520" w:type="dxa"/>
          </w:tcPr>
          <w:p w:rsidR="007E493F" w:rsidRPr="000D20F1" w:rsidRDefault="000D20F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22</w:t>
            </w:r>
            <w:r w:rsidR="007E493F" w:rsidRPr="000D20F1">
              <w:rPr>
                <w:sz w:val="16"/>
                <w:szCs w:val="16"/>
              </w:rPr>
              <w:t>, 2010</w:t>
            </w:r>
          </w:p>
        </w:tc>
        <w:tc>
          <w:tcPr>
            <w:tcW w:w="2880" w:type="dxa"/>
          </w:tcPr>
          <w:p w:rsidR="007E493F" w:rsidRPr="00380F33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380F33">
        <w:tc>
          <w:tcPr>
            <w:tcW w:w="3258" w:type="dxa"/>
          </w:tcPr>
          <w:p w:rsidR="007E493F" w:rsidRPr="00785778" w:rsidRDefault="00516B24" w:rsidP="00516B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2009-2010 Program Plan Timeline</w:t>
            </w:r>
          </w:p>
        </w:tc>
        <w:tc>
          <w:tcPr>
            <w:tcW w:w="2430" w:type="dxa"/>
          </w:tcPr>
          <w:p w:rsidR="007E493F" w:rsidRPr="000D20F1" w:rsidRDefault="000D20F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12</w:t>
            </w:r>
            <w:r w:rsidR="007E493F" w:rsidRPr="000D20F1">
              <w:rPr>
                <w:sz w:val="16"/>
                <w:szCs w:val="16"/>
              </w:rPr>
              <w:t>, 2009</w:t>
            </w:r>
          </w:p>
        </w:tc>
        <w:tc>
          <w:tcPr>
            <w:tcW w:w="2610" w:type="dxa"/>
          </w:tcPr>
          <w:p w:rsidR="007E493F" w:rsidRPr="00785778" w:rsidRDefault="007E493F" w:rsidP="00380F33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7E493F" w:rsidRPr="000D20F1" w:rsidRDefault="000D20F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22</w:t>
            </w:r>
            <w:r w:rsidR="007E493F" w:rsidRPr="000D20F1">
              <w:rPr>
                <w:sz w:val="16"/>
                <w:szCs w:val="16"/>
              </w:rPr>
              <w:t>, 2010</w:t>
            </w:r>
          </w:p>
        </w:tc>
        <w:tc>
          <w:tcPr>
            <w:tcW w:w="288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380F33">
        <w:tc>
          <w:tcPr>
            <w:tcW w:w="3258" w:type="dxa"/>
          </w:tcPr>
          <w:p w:rsidR="007E493F" w:rsidRPr="00785778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E493F" w:rsidRPr="000D20F1" w:rsidRDefault="000D20F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23</w:t>
            </w:r>
            <w:r w:rsidR="007E493F" w:rsidRPr="000D20F1">
              <w:rPr>
                <w:sz w:val="16"/>
                <w:szCs w:val="16"/>
              </w:rPr>
              <w:t>, 2009</w:t>
            </w:r>
          </w:p>
        </w:tc>
        <w:tc>
          <w:tcPr>
            <w:tcW w:w="2610" w:type="dxa"/>
          </w:tcPr>
          <w:p w:rsidR="007E493F" w:rsidRPr="00785778" w:rsidRDefault="007E493F" w:rsidP="00380F33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7E493F" w:rsidRPr="000D20F1" w:rsidRDefault="000D20F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26</w:t>
            </w:r>
            <w:r w:rsidR="007E493F" w:rsidRPr="000D20F1">
              <w:rPr>
                <w:sz w:val="16"/>
                <w:szCs w:val="16"/>
              </w:rPr>
              <w:t>, 2010</w:t>
            </w:r>
          </w:p>
        </w:tc>
        <w:tc>
          <w:tcPr>
            <w:tcW w:w="288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FA5253" w:rsidRPr="00F01FBE" w:rsidRDefault="00FA5253" w:rsidP="00FA525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Pr="00F01FBE">
        <w:rPr>
          <w:rFonts w:cs="Arial"/>
          <w:szCs w:val="22"/>
        </w:rPr>
        <w:t xml:space="preserve">. Welcome Committee Members – Please sign in and let Lisa Miller and/or Corey Wendt know about any updates to representatives. </w:t>
      </w:r>
    </w:p>
    <w:p w:rsidR="00FA5253" w:rsidRPr="00F01FBE" w:rsidRDefault="00FA5253" w:rsidP="00FA5253">
      <w:pPr>
        <w:ind w:left="720"/>
        <w:rPr>
          <w:rFonts w:cs="Arial"/>
          <w:szCs w:val="22"/>
        </w:rPr>
      </w:pPr>
    </w:p>
    <w:p w:rsidR="00FA5253" w:rsidRDefault="00FA5253" w:rsidP="00FA5253">
      <w:pPr>
        <w:ind w:left="720"/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2. Approval of Minutes for </w:t>
      </w:r>
      <w:r w:rsidR="000D20F1">
        <w:rPr>
          <w:rFonts w:cs="Arial"/>
          <w:szCs w:val="22"/>
        </w:rPr>
        <w:t>April 27</w:t>
      </w:r>
      <w:r w:rsidRPr="00F01FBE">
        <w:rPr>
          <w:rFonts w:cs="Arial"/>
          <w:szCs w:val="22"/>
        </w:rPr>
        <w:t>, 20</w:t>
      </w:r>
      <w:r w:rsidR="0072277F">
        <w:rPr>
          <w:rFonts w:cs="Arial"/>
          <w:szCs w:val="22"/>
        </w:rPr>
        <w:t>10</w:t>
      </w:r>
      <w:r w:rsidRPr="00F01FBE">
        <w:rPr>
          <w:rFonts w:cs="Arial"/>
          <w:szCs w:val="22"/>
        </w:rPr>
        <w:t xml:space="preserve"> –  </w:t>
      </w:r>
      <w:r w:rsidR="000D7AAF">
        <w:rPr>
          <w:rFonts w:cs="Arial"/>
          <w:szCs w:val="22"/>
        </w:rPr>
        <w:t xml:space="preserve"> </w:t>
      </w:r>
      <w:r w:rsidR="00DC6FB8">
        <w:rPr>
          <w:rFonts w:cs="Arial"/>
          <w:szCs w:val="22"/>
        </w:rPr>
        <w:t xml:space="preserve">Moved by </w:t>
      </w:r>
      <w:r w:rsidR="00D25A75">
        <w:rPr>
          <w:rFonts w:cs="Arial"/>
          <w:szCs w:val="22"/>
        </w:rPr>
        <w:t>Sharon Miller</w:t>
      </w:r>
      <w:r w:rsidR="00DC6FB8">
        <w:rPr>
          <w:rFonts w:cs="Arial"/>
          <w:szCs w:val="22"/>
        </w:rPr>
        <w:t xml:space="preserve">, Seconded by </w:t>
      </w:r>
      <w:r w:rsidR="00D25A75">
        <w:rPr>
          <w:rFonts w:cs="Arial"/>
          <w:szCs w:val="22"/>
        </w:rPr>
        <w:t>Sydney Sims</w:t>
      </w:r>
    </w:p>
    <w:p w:rsidR="00EC2C05" w:rsidRDefault="00FA5253" w:rsidP="00FA5253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Discussion: </w:t>
      </w:r>
      <w:r w:rsidR="00EC2C05">
        <w:rPr>
          <w:rFonts w:cs="Arial"/>
          <w:szCs w:val="22"/>
        </w:rPr>
        <w:t>Corrected meeting calendar time from 2:30 to 2:00 and clarified the Alternative Delivery Subcommittee Report to state 24/7 student support.</w:t>
      </w:r>
      <w:r w:rsidR="00D86527">
        <w:rPr>
          <w:rFonts w:cs="Arial"/>
          <w:szCs w:val="22"/>
        </w:rPr>
        <w:tab/>
      </w:r>
      <w:r w:rsidR="00D86527">
        <w:rPr>
          <w:rFonts w:cs="Arial"/>
          <w:szCs w:val="22"/>
        </w:rPr>
        <w:tab/>
      </w:r>
    </w:p>
    <w:p w:rsidR="00FA5253" w:rsidRPr="00F01FBE" w:rsidRDefault="00FA5253" w:rsidP="00FA5253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Vote:</w:t>
      </w:r>
      <w:r w:rsidR="00D25A75">
        <w:rPr>
          <w:rFonts w:cs="Arial"/>
          <w:szCs w:val="22"/>
        </w:rPr>
        <w:t xml:space="preserve"> </w:t>
      </w:r>
      <w:r w:rsidR="00EC2C05">
        <w:rPr>
          <w:rFonts w:cs="Arial"/>
          <w:szCs w:val="22"/>
        </w:rPr>
        <w:t xml:space="preserve">approved with corrections </w:t>
      </w:r>
      <w:r w:rsidR="00D25A75">
        <w:rPr>
          <w:rFonts w:cs="Arial"/>
          <w:szCs w:val="22"/>
        </w:rPr>
        <w:t>unanimous</w:t>
      </w:r>
      <w:r w:rsidR="00EC2C05">
        <w:rPr>
          <w:rFonts w:cs="Arial"/>
          <w:szCs w:val="22"/>
        </w:rPr>
        <w:t>ly</w:t>
      </w:r>
      <w:r>
        <w:rPr>
          <w:rFonts w:cs="Arial"/>
          <w:szCs w:val="22"/>
        </w:rPr>
        <w:t xml:space="preserve"> </w:t>
      </w:r>
      <w:r w:rsidR="009658C1">
        <w:rPr>
          <w:rFonts w:cs="Arial"/>
          <w:szCs w:val="22"/>
        </w:rPr>
        <w:t xml:space="preserve"> </w:t>
      </w:r>
    </w:p>
    <w:p w:rsidR="00FA5253" w:rsidRPr="00F01FBE" w:rsidRDefault="00FA5253" w:rsidP="00FA5253">
      <w:pPr>
        <w:rPr>
          <w:rFonts w:cs="Arial"/>
          <w:szCs w:val="22"/>
        </w:rPr>
      </w:pPr>
    </w:p>
    <w:p w:rsidR="00AC0C22" w:rsidRDefault="00FA5253" w:rsidP="00AC0C22">
      <w:pPr>
        <w:ind w:left="720"/>
        <w:rPr>
          <w:rFonts w:cs="Arial"/>
          <w:szCs w:val="22"/>
        </w:rPr>
      </w:pPr>
      <w:r w:rsidRPr="00F01FBE">
        <w:rPr>
          <w:rFonts w:cs="Arial"/>
          <w:szCs w:val="22"/>
        </w:rPr>
        <w:t>3</w:t>
      </w:r>
      <w:r w:rsidR="009658C1">
        <w:rPr>
          <w:rFonts w:cs="Arial"/>
          <w:szCs w:val="22"/>
        </w:rPr>
        <w:t xml:space="preserve">. </w:t>
      </w:r>
      <w:r w:rsidR="00AC0C22">
        <w:rPr>
          <w:rFonts w:cs="Arial"/>
          <w:szCs w:val="22"/>
        </w:rPr>
        <w:t xml:space="preserve">Ed CAP 2010-2011 Goals </w:t>
      </w:r>
    </w:p>
    <w:p w:rsidR="00816AF4" w:rsidRDefault="00816AF4" w:rsidP="00816AF4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The committee recommended changing the wording of the 5</w:t>
      </w:r>
      <w:r w:rsidRPr="00816AF4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goal to reflect the process of investigating a peer review process rather than implying that such a process would be implemented prior to investigation and discussion.</w:t>
      </w:r>
    </w:p>
    <w:p w:rsidR="00AC0C22" w:rsidRDefault="00AC0C22" w:rsidP="00AC0C22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>Review and revise the program plan evaluation process and timeline</w:t>
      </w:r>
    </w:p>
    <w:p w:rsidR="00AC0C22" w:rsidRDefault="00AC0C22" w:rsidP="00AC0C22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Raise faculty, staff and student awareness of accreditation site visit </w:t>
      </w:r>
    </w:p>
    <w:p w:rsidR="00AC0C22" w:rsidRDefault="00AC0C22" w:rsidP="00AC0C22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>Debri</w:t>
      </w:r>
      <w:r w:rsidR="005B42CC">
        <w:rPr>
          <w:rFonts w:cs="Arial"/>
          <w:szCs w:val="22"/>
        </w:rPr>
        <w:t>e</w:t>
      </w:r>
      <w:r>
        <w:rPr>
          <w:rFonts w:cs="Arial"/>
          <w:szCs w:val="22"/>
        </w:rPr>
        <w:t>f after the site visit and review findings from the site visit team</w:t>
      </w:r>
    </w:p>
    <w:p w:rsidR="00AC0C22" w:rsidRDefault="00AC0C22" w:rsidP="00AC0C22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>Prepare timeline and process for developing the mid-term report</w:t>
      </w:r>
    </w:p>
    <w:p w:rsidR="00AC0C22" w:rsidRDefault="00D25A75" w:rsidP="00AC0C22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Investigate a </w:t>
      </w:r>
      <w:r w:rsidR="00AC0C22">
        <w:rPr>
          <w:rFonts w:cs="Arial"/>
          <w:szCs w:val="22"/>
        </w:rPr>
        <w:t>peer review</w:t>
      </w:r>
      <w:r>
        <w:rPr>
          <w:rFonts w:cs="Arial"/>
          <w:szCs w:val="22"/>
        </w:rPr>
        <w:t xml:space="preserve"> process</w:t>
      </w:r>
      <w:r w:rsidR="00AC0C2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for</w:t>
      </w:r>
      <w:r w:rsidR="00AC0C22">
        <w:rPr>
          <w:rFonts w:cs="Arial"/>
          <w:szCs w:val="22"/>
        </w:rPr>
        <w:t xml:space="preserve"> program plan</w:t>
      </w:r>
      <w:r>
        <w:rPr>
          <w:rFonts w:cs="Arial"/>
          <w:szCs w:val="22"/>
        </w:rPr>
        <w:t xml:space="preserve">s </w:t>
      </w:r>
      <w:r w:rsidR="00AC0C22">
        <w:rPr>
          <w:rFonts w:cs="Arial"/>
          <w:szCs w:val="22"/>
        </w:rPr>
        <w:t xml:space="preserve">  </w:t>
      </w:r>
    </w:p>
    <w:p w:rsidR="00AC0C22" w:rsidRPr="0094606C" w:rsidRDefault="00AC0C22" w:rsidP="00AC0C22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Presentation for the Basic Skills committee pilot at </w:t>
      </w:r>
      <w:r w:rsidR="00CA6B61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>October</w:t>
      </w:r>
      <w:r w:rsidR="00CA6B61">
        <w:rPr>
          <w:rFonts w:cs="Arial"/>
          <w:szCs w:val="22"/>
        </w:rPr>
        <w:t xml:space="preserve"> Ed CAP meeting</w:t>
      </w:r>
    </w:p>
    <w:p w:rsidR="009658C1" w:rsidRPr="00F01FBE" w:rsidRDefault="00F208BE" w:rsidP="0072277F">
      <w:pPr>
        <w:ind w:left="180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AC0C22" w:rsidRDefault="00B633F1" w:rsidP="00AC0C22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4. </w:t>
      </w:r>
      <w:r w:rsidR="00AC0C22">
        <w:rPr>
          <w:rFonts w:cs="Arial"/>
          <w:szCs w:val="22"/>
        </w:rPr>
        <w:t>Meeting Calendar for 2010-2011</w:t>
      </w:r>
    </w:p>
    <w:p w:rsidR="00AC0C22" w:rsidRDefault="00AC0C22" w:rsidP="00AC0C22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Pr="000D7AAF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Tuesday of the month, 2:00 – 3:30 PM, CCCR </w:t>
      </w:r>
    </w:p>
    <w:p w:rsidR="00AC0C22" w:rsidRDefault="00AC0C22" w:rsidP="00AC0C22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August 24; September 28; October 12 (Note change to coordinate with team visit, curriculum will be scheduled to end earlier); November 23; January 25; February 22; March 22; April 26</w:t>
      </w:r>
    </w:p>
    <w:p w:rsidR="002609D7" w:rsidRPr="00533A1B" w:rsidRDefault="002609D7" w:rsidP="000D7AAF">
      <w:pPr>
        <w:pStyle w:val="ListParagraph"/>
        <w:ind w:left="180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AC0C22" w:rsidRDefault="000D7AAF" w:rsidP="00AC0C22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5.  </w:t>
      </w:r>
      <w:r w:rsidR="00AC0C22">
        <w:rPr>
          <w:rFonts w:cs="Arial"/>
          <w:szCs w:val="22"/>
        </w:rPr>
        <w:t xml:space="preserve">Program Plans </w:t>
      </w:r>
    </w:p>
    <w:p w:rsidR="00AC0C22" w:rsidRDefault="00AC0C22" w:rsidP="00AC0C2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Report on numbers of plans and meetings with EVP/VP</w:t>
      </w:r>
      <w:r w:rsidR="00D25A75">
        <w:rPr>
          <w:rFonts w:cs="Arial"/>
          <w:szCs w:val="22"/>
        </w:rPr>
        <w:t xml:space="preserve"> – 74 </w:t>
      </w:r>
      <w:proofErr w:type="gramStart"/>
      <w:r w:rsidR="00D25A75">
        <w:rPr>
          <w:rFonts w:cs="Arial"/>
          <w:szCs w:val="22"/>
        </w:rPr>
        <w:t>program</w:t>
      </w:r>
      <w:proofErr w:type="gramEnd"/>
      <w:r w:rsidR="00D25A75">
        <w:rPr>
          <w:rFonts w:cs="Arial"/>
          <w:szCs w:val="22"/>
        </w:rPr>
        <w:t xml:space="preserve"> completed the program planning process in June.  </w:t>
      </w:r>
      <w:r w:rsidR="005B42CC">
        <w:rPr>
          <w:rFonts w:cs="Arial"/>
          <w:szCs w:val="22"/>
        </w:rPr>
        <w:t>Two</w:t>
      </w:r>
      <w:r w:rsidR="00D25A75">
        <w:rPr>
          <w:rFonts w:cs="Arial"/>
          <w:szCs w:val="22"/>
        </w:rPr>
        <w:t xml:space="preserve"> in growth mode, 19 stable but impacted, 16 pay-attention</w:t>
      </w:r>
      <w:r w:rsidR="00CA7BE1">
        <w:rPr>
          <w:rFonts w:cs="Arial"/>
          <w:szCs w:val="22"/>
        </w:rPr>
        <w:t xml:space="preserve"> (especially </w:t>
      </w:r>
      <w:proofErr w:type="spellStart"/>
      <w:r w:rsidR="00CA7BE1">
        <w:rPr>
          <w:rFonts w:cs="Arial"/>
          <w:szCs w:val="22"/>
        </w:rPr>
        <w:t>catagoricals</w:t>
      </w:r>
      <w:proofErr w:type="spellEnd"/>
      <w:r w:rsidR="00CA7BE1">
        <w:rPr>
          <w:rFonts w:cs="Arial"/>
          <w:szCs w:val="22"/>
        </w:rPr>
        <w:t xml:space="preserve"> because of the lack of stable funding from the state)</w:t>
      </w:r>
      <w:r w:rsidR="00D25A75">
        <w:rPr>
          <w:rFonts w:cs="Arial"/>
          <w:szCs w:val="22"/>
        </w:rPr>
        <w:t xml:space="preserve">, and 37 </w:t>
      </w:r>
      <w:r w:rsidR="00CA7BE1">
        <w:rPr>
          <w:rFonts w:cs="Arial"/>
          <w:szCs w:val="22"/>
        </w:rPr>
        <w:t>stable</w:t>
      </w:r>
      <w:r>
        <w:rPr>
          <w:rFonts w:cs="Arial"/>
          <w:szCs w:val="22"/>
        </w:rPr>
        <w:t xml:space="preserve">.  </w:t>
      </w:r>
    </w:p>
    <w:p w:rsidR="00AC0C22" w:rsidRDefault="00AC0C22" w:rsidP="00AC0C2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Any revisions based on program changes over the summer are due by the next Ed CAP meeting, September 28, 2010</w:t>
      </w:r>
      <w:r w:rsidR="00CA7BE1">
        <w:rPr>
          <w:rFonts w:cs="Arial"/>
          <w:szCs w:val="22"/>
        </w:rPr>
        <w:t>, next Ed CAP meeting</w:t>
      </w:r>
      <w:r>
        <w:rPr>
          <w:rFonts w:cs="Arial"/>
          <w:szCs w:val="22"/>
        </w:rPr>
        <w:t>.</w:t>
      </w:r>
      <w:r w:rsidR="00CA7BE1">
        <w:rPr>
          <w:rFonts w:cs="Arial"/>
          <w:szCs w:val="22"/>
        </w:rPr>
        <w:t xml:space="preserve">  If you need to add outcome data or have had any changes in your requests over the summer, pleas</w:t>
      </w:r>
      <w:r w:rsidR="005B42CC">
        <w:rPr>
          <w:rFonts w:cs="Arial"/>
          <w:szCs w:val="22"/>
        </w:rPr>
        <w:t>e</w:t>
      </w:r>
      <w:r w:rsidR="00CA7BE1">
        <w:rPr>
          <w:rFonts w:cs="Arial"/>
          <w:szCs w:val="22"/>
        </w:rPr>
        <w:t xml:space="preserve"> update your plan on MC Share.</w:t>
      </w:r>
    </w:p>
    <w:p w:rsidR="000367F6" w:rsidRDefault="000367F6" w:rsidP="00AC0C2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No </w:t>
      </w:r>
      <w:r w:rsidR="00881385">
        <w:rPr>
          <w:rFonts w:cs="Arial"/>
          <w:szCs w:val="22"/>
        </w:rPr>
        <w:t>changes to the</w:t>
      </w:r>
      <w:r w:rsidR="009E7557">
        <w:rPr>
          <w:rFonts w:cs="Arial"/>
          <w:szCs w:val="22"/>
        </w:rPr>
        <w:t xml:space="preserve"> Program Plan</w:t>
      </w:r>
      <w:r w:rsidR="00881385">
        <w:rPr>
          <w:rFonts w:cs="Arial"/>
          <w:szCs w:val="22"/>
        </w:rPr>
        <w:t xml:space="preserve"> </w:t>
      </w:r>
      <w:r w:rsidR="009E7557">
        <w:rPr>
          <w:rFonts w:cs="Arial"/>
          <w:szCs w:val="22"/>
        </w:rPr>
        <w:t>T</w:t>
      </w:r>
      <w:r w:rsidR="00881385">
        <w:rPr>
          <w:rFonts w:cs="Arial"/>
          <w:szCs w:val="22"/>
        </w:rPr>
        <w:t>emplate this year.</w:t>
      </w:r>
    </w:p>
    <w:p w:rsidR="00CA6B61" w:rsidRDefault="00AC0C22" w:rsidP="00AC0C2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Proposal and white paper on program peer review</w:t>
      </w:r>
      <w:r w:rsidR="00CA7BE1">
        <w:rPr>
          <w:rFonts w:cs="Arial"/>
          <w:szCs w:val="22"/>
        </w:rPr>
        <w:t xml:space="preserve"> – at the last Ed CAP meeting the EVP promised a peer program review proposal.  </w:t>
      </w:r>
      <w:r w:rsidR="00EC2C05">
        <w:rPr>
          <w:rFonts w:cs="Arial"/>
          <w:szCs w:val="22"/>
        </w:rPr>
        <w:t xml:space="preserve">We distributed the proposal as a starting point for discussion and asked groups to read it and discuss.  The groups wrote notes about their discussion based on the following questions: </w:t>
      </w:r>
      <w:r w:rsidR="00CA7BE1">
        <w:rPr>
          <w:rFonts w:cs="Arial"/>
          <w:szCs w:val="22"/>
        </w:rPr>
        <w:t xml:space="preserve"> </w:t>
      </w:r>
    </w:p>
    <w:p w:rsidR="00EC2C05" w:rsidRDefault="00CA6B61" w:rsidP="00CA6B61">
      <w:pPr>
        <w:pStyle w:val="ListParagraph"/>
        <w:numPr>
          <w:ilvl w:val="1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What do you like about the idea of peer review for program plans?  </w:t>
      </w:r>
    </w:p>
    <w:p w:rsidR="00EC2C05" w:rsidRDefault="00CA6B61" w:rsidP="00CA6B61">
      <w:pPr>
        <w:pStyle w:val="ListParagraph"/>
        <w:numPr>
          <w:ilvl w:val="1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What are your concerns?  </w:t>
      </w:r>
    </w:p>
    <w:p w:rsidR="00AC0C22" w:rsidRPr="00EC2C05" w:rsidRDefault="00CA6B61" w:rsidP="00EC2C05">
      <w:pPr>
        <w:pStyle w:val="ListParagraph"/>
        <w:numPr>
          <w:ilvl w:val="1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Thoughts on how to have it structured?  </w:t>
      </w:r>
      <w:r w:rsidRPr="00EC2C05">
        <w:rPr>
          <w:rFonts w:cs="Arial"/>
          <w:szCs w:val="22"/>
        </w:rPr>
        <w:t xml:space="preserve">  </w:t>
      </w:r>
    </w:p>
    <w:p w:rsidR="00EC2C05" w:rsidRPr="00EC2C05" w:rsidRDefault="00EC2C05" w:rsidP="00EC2C05">
      <w:pPr>
        <w:ind w:left="1800"/>
        <w:rPr>
          <w:rFonts w:cs="Arial"/>
          <w:szCs w:val="22"/>
        </w:rPr>
      </w:pPr>
      <w:r>
        <w:rPr>
          <w:rFonts w:cs="Arial"/>
          <w:szCs w:val="22"/>
        </w:rPr>
        <w:t>These comments were</w:t>
      </w:r>
      <w:r w:rsidR="009E7557">
        <w:rPr>
          <w:rFonts w:cs="Arial"/>
          <w:szCs w:val="22"/>
        </w:rPr>
        <w:t xml:space="preserve"> collected to be</w:t>
      </w:r>
      <w:r>
        <w:rPr>
          <w:rFonts w:cs="Arial"/>
          <w:szCs w:val="22"/>
        </w:rPr>
        <w:t xml:space="preserve"> summarized for the next Ed CAP meeting for continued discussion.</w:t>
      </w:r>
    </w:p>
    <w:p w:rsidR="003F120A" w:rsidRDefault="003F120A" w:rsidP="00AC0C2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2010-2011 Program Plan Timeline for review</w:t>
      </w:r>
      <w:r w:rsidR="00CA6B61">
        <w:rPr>
          <w:rFonts w:cs="Arial"/>
          <w:szCs w:val="22"/>
        </w:rPr>
        <w:t xml:space="preserve"> (note dates of spring break, March 14-18)</w:t>
      </w:r>
      <w:r>
        <w:rPr>
          <w:rFonts w:cs="Arial"/>
          <w:szCs w:val="22"/>
        </w:rPr>
        <w:t>.  Please contribute any comments about the timeline for the development of the 2011-2012 Program Plan Timeline by next meeting, September 28.</w:t>
      </w:r>
      <w:r w:rsidR="00D70AAB">
        <w:rPr>
          <w:rFonts w:cs="Arial"/>
          <w:szCs w:val="22"/>
        </w:rPr>
        <w:t xml:space="preserve">  The timeline needs to be updated with next year</w:t>
      </w:r>
      <w:r w:rsidR="00816AF4">
        <w:rPr>
          <w:rFonts w:cs="Arial"/>
          <w:szCs w:val="22"/>
        </w:rPr>
        <w:t>’</w:t>
      </w:r>
      <w:r w:rsidR="00D70AAB">
        <w:rPr>
          <w:rFonts w:cs="Arial"/>
          <w:szCs w:val="22"/>
        </w:rPr>
        <w:t>s dates.  Update the dates.</w:t>
      </w:r>
    </w:p>
    <w:p w:rsidR="005C6C74" w:rsidRPr="0094606C" w:rsidRDefault="005C6C74" w:rsidP="00AC0C22">
      <w:pPr>
        <w:ind w:left="720"/>
        <w:rPr>
          <w:rFonts w:cs="Arial"/>
          <w:szCs w:val="22"/>
        </w:rPr>
      </w:pPr>
    </w:p>
    <w:p w:rsidR="00AC0C22" w:rsidRDefault="000D7AAF" w:rsidP="00AC0C22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6.  </w:t>
      </w:r>
      <w:r w:rsidR="00AC0C22">
        <w:rPr>
          <w:rFonts w:cs="Arial"/>
          <w:szCs w:val="22"/>
        </w:rPr>
        <w:t>Self-study Submitted to WASC-ACCJC.</w:t>
      </w:r>
    </w:p>
    <w:p w:rsidR="00AC0C22" w:rsidRDefault="00D70AAB" w:rsidP="00AC0C22">
      <w:pPr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The self-study is done.  Thank you all for contributing.  Special thanks to Lisa Putnam. </w:t>
      </w:r>
      <w:r w:rsidR="00AC0C22">
        <w:rPr>
          <w:rFonts w:cs="Arial"/>
          <w:szCs w:val="22"/>
        </w:rPr>
        <w:t>Please familiarize yourself with the self</w:t>
      </w:r>
      <w:r w:rsidR="009E7557">
        <w:rPr>
          <w:rFonts w:cs="Arial"/>
          <w:szCs w:val="22"/>
        </w:rPr>
        <w:t>-</w:t>
      </w:r>
      <w:r w:rsidR="00AC0C22">
        <w:rPr>
          <w:rFonts w:cs="Arial"/>
          <w:szCs w:val="22"/>
        </w:rPr>
        <w:t>study document.  It is available online at</w:t>
      </w:r>
      <w:r>
        <w:rPr>
          <w:rFonts w:cs="Arial"/>
          <w:szCs w:val="22"/>
        </w:rPr>
        <w:t xml:space="preserve"> the accreditation link from the homepage or</w:t>
      </w:r>
      <w:r w:rsidR="00AC0C22">
        <w:rPr>
          <w:rFonts w:cs="Arial"/>
          <w:szCs w:val="22"/>
        </w:rPr>
        <w:t xml:space="preserve">: </w:t>
      </w:r>
      <w:hyperlink r:id="rId10" w:history="1">
        <w:r w:rsidRPr="00D25A01">
          <w:rPr>
            <w:rStyle w:val="Hyperlink"/>
            <w:rFonts w:cs="Arial"/>
            <w:szCs w:val="22"/>
          </w:rPr>
          <w:t>http://www.moorparkcollege.edu/departments/administrative/presidents_office/accreditation.shtml</w:t>
        </w:r>
      </w:hyperlink>
      <w:r>
        <w:rPr>
          <w:rFonts w:cs="Arial"/>
          <w:szCs w:val="22"/>
        </w:rPr>
        <w:t>.</w:t>
      </w:r>
    </w:p>
    <w:p w:rsidR="00D70AAB" w:rsidRDefault="00D70AAB" w:rsidP="00D70AAB">
      <w:pPr>
        <w:ind w:left="1800"/>
        <w:rPr>
          <w:rFonts w:cs="Arial"/>
          <w:szCs w:val="22"/>
        </w:rPr>
      </w:pPr>
      <w:r>
        <w:rPr>
          <w:rFonts w:cs="Arial"/>
          <w:szCs w:val="22"/>
        </w:rPr>
        <w:t xml:space="preserve">The team includes approx. 13 or 14 members.  The team includes faculty, administrators, and trustees.  The team members will submit a bio and pictures to make a booklet.  </w:t>
      </w:r>
    </w:p>
    <w:p w:rsidR="003F120A" w:rsidRPr="00C073D6" w:rsidRDefault="003F120A" w:rsidP="003F120A">
      <w:pPr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Fall Fling: October 1, 2010 at Brandeis in Simi Valley.  Please encourage all faculty to attend</w:t>
      </w:r>
      <w:r w:rsidR="00D70AAB">
        <w:rPr>
          <w:rFonts w:cs="Arial"/>
          <w:szCs w:val="22"/>
        </w:rPr>
        <w:t xml:space="preserve"> there will be an RSVP email shortly after Labor Day</w:t>
      </w:r>
      <w:r>
        <w:rPr>
          <w:rFonts w:cs="Arial"/>
          <w:szCs w:val="22"/>
        </w:rPr>
        <w:t>.</w:t>
      </w:r>
    </w:p>
    <w:p w:rsidR="00AC0C22" w:rsidRDefault="00AC0C22" w:rsidP="00AC0C22">
      <w:pPr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The site visit will be October 11 – 14, 2010 – Please announce this in any department meetings you may have.</w:t>
      </w:r>
    </w:p>
    <w:p w:rsidR="000D7AAF" w:rsidRDefault="000D7AAF" w:rsidP="00FA5253">
      <w:pPr>
        <w:ind w:left="720"/>
        <w:rPr>
          <w:rFonts w:cs="Arial"/>
          <w:szCs w:val="22"/>
        </w:rPr>
      </w:pPr>
    </w:p>
    <w:p w:rsidR="00AC0C22" w:rsidRPr="00F01FBE" w:rsidRDefault="00533A1B" w:rsidP="00AC0C22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7. </w:t>
      </w:r>
      <w:r w:rsidR="00AC0C22" w:rsidRPr="00F01FBE">
        <w:rPr>
          <w:rFonts w:cs="Arial"/>
          <w:szCs w:val="22"/>
        </w:rPr>
        <w:t>ED CAP – Ad Hoc Subcommittee Reports</w:t>
      </w:r>
    </w:p>
    <w:p w:rsidR="00AC0C22" w:rsidRPr="00F01FBE" w:rsidRDefault="00AC0C22" w:rsidP="00AC0C22">
      <w:pPr>
        <w:numPr>
          <w:ilvl w:val="0"/>
          <w:numId w:val="2"/>
        </w:numPr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Alternative Delivery – </w:t>
      </w:r>
      <w:r>
        <w:rPr>
          <w:rFonts w:cs="Arial"/>
          <w:szCs w:val="22"/>
        </w:rPr>
        <w:t xml:space="preserve">Lee Ballestero/Lisa Miller </w:t>
      </w:r>
      <w:proofErr w:type="gramStart"/>
      <w:r>
        <w:rPr>
          <w:rFonts w:cs="Arial"/>
          <w:szCs w:val="22"/>
        </w:rPr>
        <w:t xml:space="preserve">–  </w:t>
      </w:r>
      <w:r w:rsidR="00D70AAB">
        <w:rPr>
          <w:rFonts w:cs="Arial"/>
          <w:szCs w:val="22"/>
        </w:rPr>
        <w:t>first</w:t>
      </w:r>
      <w:proofErr w:type="gramEnd"/>
      <w:r w:rsidR="00D70AAB">
        <w:rPr>
          <w:rFonts w:cs="Arial"/>
          <w:szCs w:val="22"/>
        </w:rPr>
        <w:t xml:space="preserve"> meeting will meet on Thursday, Aug. 26</w:t>
      </w:r>
      <w:r>
        <w:rPr>
          <w:rFonts w:cs="Arial"/>
          <w:szCs w:val="22"/>
        </w:rPr>
        <w:t>.</w:t>
      </w:r>
    </w:p>
    <w:p w:rsidR="00AC0C22" w:rsidRPr="00F01FBE" w:rsidRDefault="00AC0C22" w:rsidP="00AC0C22">
      <w:pPr>
        <w:numPr>
          <w:ilvl w:val="0"/>
          <w:numId w:val="2"/>
        </w:numPr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Basic Skills – </w:t>
      </w:r>
      <w:r w:rsidR="00D70AAB">
        <w:rPr>
          <w:rFonts w:cs="Arial"/>
          <w:szCs w:val="22"/>
        </w:rPr>
        <w:t>Chris Cole/Inajane Nicklas – New co-chair, Cindy Reed.  First meeting will be next week, Thursday, Sept. 2</w:t>
      </w:r>
      <w:r>
        <w:rPr>
          <w:rFonts w:cs="Arial"/>
          <w:szCs w:val="22"/>
        </w:rPr>
        <w:t xml:space="preserve">. </w:t>
      </w:r>
    </w:p>
    <w:p w:rsidR="00AC0C22" w:rsidRDefault="00AC0C22" w:rsidP="00AC0C22">
      <w:pPr>
        <w:numPr>
          <w:ilvl w:val="0"/>
          <w:numId w:val="2"/>
        </w:numPr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Moorpark College Marketplace Collaborative – </w:t>
      </w:r>
      <w:r>
        <w:rPr>
          <w:rFonts w:cs="Arial"/>
          <w:szCs w:val="22"/>
        </w:rPr>
        <w:t xml:space="preserve">Karen DuBois/Julius Sokenu –   </w:t>
      </w:r>
      <w:r w:rsidR="00D70AAB">
        <w:rPr>
          <w:rFonts w:cs="Arial"/>
          <w:szCs w:val="22"/>
        </w:rPr>
        <w:t>Did not meet this month, will meet in Sept. on th</w:t>
      </w:r>
      <w:r w:rsidR="009403AA">
        <w:rPr>
          <w:rFonts w:cs="Arial"/>
          <w:szCs w:val="22"/>
        </w:rPr>
        <w:t xml:space="preserve">e third Thursday of the month, </w:t>
      </w:r>
      <w:proofErr w:type="gramStart"/>
      <w:r w:rsidR="00D70AAB">
        <w:rPr>
          <w:rFonts w:cs="Arial"/>
          <w:szCs w:val="22"/>
        </w:rPr>
        <w:t>needs</w:t>
      </w:r>
      <w:proofErr w:type="gramEnd"/>
      <w:r w:rsidR="00D70AAB">
        <w:rPr>
          <w:rFonts w:cs="Arial"/>
          <w:szCs w:val="22"/>
        </w:rPr>
        <w:t xml:space="preserve"> a math</w:t>
      </w:r>
      <w:r w:rsidR="009403AA">
        <w:rPr>
          <w:rFonts w:cs="Arial"/>
          <w:szCs w:val="22"/>
        </w:rPr>
        <w:t>/physical sciences</w:t>
      </w:r>
      <w:r w:rsidR="00D70AAB">
        <w:rPr>
          <w:rFonts w:cs="Arial"/>
          <w:szCs w:val="22"/>
        </w:rPr>
        <w:t xml:space="preserve"> rep</w:t>
      </w:r>
      <w:r>
        <w:rPr>
          <w:rFonts w:cs="Arial"/>
          <w:szCs w:val="22"/>
        </w:rPr>
        <w:t xml:space="preserve">. </w:t>
      </w:r>
    </w:p>
    <w:p w:rsidR="0034028F" w:rsidRDefault="0034028F" w:rsidP="00FA5253">
      <w:pPr>
        <w:ind w:left="720"/>
        <w:rPr>
          <w:rFonts w:cs="Arial"/>
          <w:szCs w:val="22"/>
        </w:rPr>
      </w:pPr>
    </w:p>
    <w:p w:rsidR="00FA5253" w:rsidRPr="00F01FBE" w:rsidRDefault="00F66F8A" w:rsidP="00FA525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34028F">
        <w:rPr>
          <w:rFonts w:cs="Arial"/>
          <w:szCs w:val="22"/>
        </w:rPr>
        <w:t xml:space="preserve">.  </w:t>
      </w:r>
      <w:r w:rsidR="00FA5253" w:rsidRPr="00F01FBE">
        <w:rPr>
          <w:rFonts w:cs="Arial"/>
          <w:szCs w:val="22"/>
        </w:rPr>
        <w:t xml:space="preserve">Meeting adjourned at </w:t>
      </w:r>
      <w:r w:rsidR="00D70AAB">
        <w:rPr>
          <w:rFonts w:cs="Arial"/>
          <w:szCs w:val="22"/>
        </w:rPr>
        <w:t>3:10</w:t>
      </w:r>
      <w:r w:rsidR="000D7AAF">
        <w:rPr>
          <w:rFonts w:cs="Arial"/>
          <w:szCs w:val="22"/>
        </w:rPr>
        <w:t xml:space="preserve"> </w:t>
      </w:r>
      <w:r w:rsidR="00B633F1">
        <w:rPr>
          <w:rFonts w:cs="Arial"/>
          <w:szCs w:val="22"/>
        </w:rPr>
        <w:t xml:space="preserve">PM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31B0"/>
    <w:rsid w:val="00021AD4"/>
    <w:rsid w:val="000367F6"/>
    <w:rsid w:val="0004375B"/>
    <w:rsid w:val="00073705"/>
    <w:rsid w:val="00081D98"/>
    <w:rsid w:val="00087408"/>
    <w:rsid w:val="00091E13"/>
    <w:rsid w:val="000C3D8B"/>
    <w:rsid w:val="000D20F1"/>
    <w:rsid w:val="000D7AAF"/>
    <w:rsid w:val="00110A22"/>
    <w:rsid w:val="00113172"/>
    <w:rsid w:val="00116B92"/>
    <w:rsid w:val="00144FC6"/>
    <w:rsid w:val="00152E88"/>
    <w:rsid w:val="00154378"/>
    <w:rsid w:val="00172E99"/>
    <w:rsid w:val="00185292"/>
    <w:rsid w:val="00191C7C"/>
    <w:rsid w:val="001A795D"/>
    <w:rsid w:val="00201183"/>
    <w:rsid w:val="00211C3A"/>
    <w:rsid w:val="002276A9"/>
    <w:rsid w:val="002341D0"/>
    <w:rsid w:val="002609D7"/>
    <w:rsid w:val="002612B1"/>
    <w:rsid w:val="00261FDA"/>
    <w:rsid w:val="002677CF"/>
    <w:rsid w:val="002813E2"/>
    <w:rsid w:val="002824FD"/>
    <w:rsid w:val="00291C3B"/>
    <w:rsid w:val="00292196"/>
    <w:rsid w:val="002A58DA"/>
    <w:rsid w:val="002B1FCA"/>
    <w:rsid w:val="002C2CE8"/>
    <w:rsid w:val="00302F97"/>
    <w:rsid w:val="003207C8"/>
    <w:rsid w:val="00334DFB"/>
    <w:rsid w:val="0034028F"/>
    <w:rsid w:val="00345402"/>
    <w:rsid w:val="0036296F"/>
    <w:rsid w:val="00370CC2"/>
    <w:rsid w:val="00380F33"/>
    <w:rsid w:val="003861CA"/>
    <w:rsid w:val="003A45A2"/>
    <w:rsid w:val="003B2108"/>
    <w:rsid w:val="003B497F"/>
    <w:rsid w:val="003F120A"/>
    <w:rsid w:val="004138AA"/>
    <w:rsid w:val="00414067"/>
    <w:rsid w:val="00433E19"/>
    <w:rsid w:val="00435C50"/>
    <w:rsid w:val="00443648"/>
    <w:rsid w:val="00445092"/>
    <w:rsid w:val="00446C14"/>
    <w:rsid w:val="0046613A"/>
    <w:rsid w:val="004A2A1B"/>
    <w:rsid w:val="004A799C"/>
    <w:rsid w:val="004C293A"/>
    <w:rsid w:val="00503886"/>
    <w:rsid w:val="00515AD0"/>
    <w:rsid w:val="00516B24"/>
    <w:rsid w:val="00533A1B"/>
    <w:rsid w:val="00534A08"/>
    <w:rsid w:val="00551125"/>
    <w:rsid w:val="00552C75"/>
    <w:rsid w:val="00560C81"/>
    <w:rsid w:val="00562F51"/>
    <w:rsid w:val="00566246"/>
    <w:rsid w:val="0057357F"/>
    <w:rsid w:val="005A51F2"/>
    <w:rsid w:val="005B42CC"/>
    <w:rsid w:val="005B4513"/>
    <w:rsid w:val="005C4D79"/>
    <w:rsid w:val="005C6C74"/>
    <w:rsid w:val="005D6C6B"/>
    <w:rsid w:val="00600CA6"/>
    <w:rsid w:val="006154DC"/>
    <w:rsid w:val="006265EE"/>
    <w:rsid w:val="006363A6"/>
    <w:rsid w:val="006551B4"/>
    <w:rsid w:val="00655FDA"/>
    <w:rsid w:val="006576C7"/>
    <w:rsid w:val="00673F62"/>
    <w:rsid w:val="00681759"/>
    <w:rsid w:val="006870F1"/>
    <w:rsid w:val="006A30E5"/>
    <w:rsid w:val="006B103D"/>
    <w:rsid w:val="006B493E"/>
    <w:rsid w:val="006C7197"/>
    <w:rsid w:val="006F2329"/>
    <w:rsid w:val="006F2788"/>
    <w:rsid w:val="006F29A0"/>
    <w:rsid w:val="00706AAE"/>
    <w:rsid w:val="00711170"/>
    <w:rsid w:val="00717DEC"/>
    <w:rsid w:val="0072277F"/>
    <w:rsid w:val="00741C14"/>
    <w:rsid w:val="007801D2"/>
    <w:rsid w:val="007807CB"/>
    <w:rsid w:val="00785778"/>
    <w:rsid w:val="00793536"/>
    <w:rsid w:val="007B57CA"/>
    <w:rsid w:val="007C2F7F"/>
    <w:rsid w:val="007C554C"/>
    <w:rsid w:val="007D4186"/>
    <w:rsid w:val="007E493F"/>
    <w:rsid w:val="007F1344"/>
    <w:rsid w:val="00800DA8"/>
    <w:rsid w:val="00816AF4"/>
    <w:rsid w:val="00827B60"/>
    <w:rsid w:val="00836A0D"/>
    <w:rsid w:val="00856ED2"/>
    <w:rsid w:val="00861636"/>
    <w:rsid w:val="00881385"/>
    <w:rsid w:val="0088596E"/>
    <w:rsid w:val="008860CC"/>
    <w:rsid w:val="008B1BE1"/>
    <w:rsid w:val="008D082A"/>
    <w:rsid w:val="008D15EB"/>
    <w:rsid w:val="008E45D5"/>
    <w:rsid w:val="008F1F0D"/>
    <w:rsid w:val="009235DB"/>
    <w:rsid w:val="00927302"/>
    <w:rsid w:val="009334AF"/>
    <w:rsid w:val="009403AA"/>
    <w:rsid w:val="0094606C"/>
    <w:rsid w:val="009605DC"/>
    <w:rsid w:val="00962F25"/>
    <w:rsid w:val="009636F2"/>
    <w:rsid w:val="009658C1"/>
    <w:rsid w:val="009841C8"/>
    <w:rsid w:val="009845D1"/>
    <w:rsid w:val="009959EA"/>
    <w:rsid w:val="0099743B"/>
    <w:rsid w:val="009B0F66"/>
    <w:rsid w:val="009D3F2A"/>
    <w:rsid w:val="009E2340"/>
    <w:rsid w:val="009E26C8"/>
    <w:rsid w:val="009E281C"/>
    <w:rsid w:val="009E7557"/>
    <w:rsid w:val="00A21FBC"/>
    <w:rsid w:val="00A306B4"/>
    <w:rsid w:val="00A428E2"/>
    <w:rsid w:val="00A43F82"/>
    <w:rsid w:val="00A56506"/>
    <w:rsid w:val="00A70B15"/>
    <w:rsid w:val="00A817EE"/>
    <w:rsid w:val="00AA7D4A"/>
    <w:rsid w:val="00AB3DDB"/>
    <w:rsid w:val="00AC0C22"/>
    <w:rsid w:val="00AC2009"/>
    <w:rsid w:val="00AE1295"/>
    <w:rsid w:val="00AE17FA"/>
    <w:rsid w:val="00B02EB0"/>
    <w:rsid w:val="00B0408B"/>
    <w:rsid w:val="00B23834"/>
    <w:rsid w:val="00B300C0"/>
    <w:rsid w:val="00B341CB"/>
    <w:rsid w:val="00B40EA3"/>
    <w:rsid w:val="00B42189"/>
    <w:rsid w:val="00B451CD"/>
    <w:rsid w:val="00B50904"/>
    <w:rsid w:val="00B537B5"/>
    <w:rsid w:val="00B57C98"/>
    <w:rsid w:val="00B633F1"/>
    <w:rsid w:val="00B642E4"/>
    <w:rsid w:val="00B768DC"/>
    <w:rsid w:val="00B8024E"/>
    <w:rsid w:val="00BA20B6"/>
    <w:rsid w:val="00BA4153"/>
    <w:rsid w:val="00BA57E1"/>
    <w:rsid w:val="00BC31D8"/>
    <w:rsid w:val="00BC7D03"/>
    <w:rsid w:val="00BF3421"/>
    <w:rsid w:val="00C073D6"/>
    <w:rsid w:val="00C14D4E"/>
    <w:rsid w:val="00C17549"/>
    <w:rsid w:val="00C644D4"/>
    <w:rsid w:val="00C66DB8"/>
    <w:rsid w:val="00C81887"/>
    <w:rsid w:val="00C839EA"/>
    <w:rsid w:val="00C9011D"/>
    <w:rsid w:val="00C91068"/>
    <w:rsid w:val="00CA6B61"/>
    <w:rsid w:val="00CA7BE1"/>
    <w:rsid w:val="00CB15FD"/>
    <w:rsid w:val="00CB5D6F"/>
    <w:rsid w:val="00CC0648"/>
    <w:rsid w:val="00CE46B2"/>
    <w:rsid w:val="00CE577B"/>
    <w:rsid w:val="00D25A75"/>
    <w:rsid w:val="00D4375F"/>
    <w:rsid w:val="00D44858"/>
    <w:rsid w:val="00D45806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C6FB8"/>
    <w:rsid w:val="00DD2526"/>
    <w:rsid w:val="00DE65A1"/>
    <w:rsid w:val="00E277C3"/>
    <w:rsid w:val="00E4221F"/>
    <w:rsid w:val="00E431D9"/>
    <w:rsid w:val="00E66B0A"/>
    <w:rsid w:val="00E876D8"/>
    <w:rsid w:val="00E9354F"/>
    <w:rsid w:val="00EA3BA4"/>
    <w:rsid w:val="00EC2C05"/>
    <w:rsid w:val="00ED1D84"/>
    <w:rsid w:val="00ED704C"/>
    <w:rsid w:val="00F01FBE"/>
    <w:rsid w:val="00F04FC5"/>
    <w:rsid w:val="00F208BE"/>
    <w:rsid w:val="00F47DDD"/>
    <w:rsid w:val="00F66F8A"/>
    <w:rsid w:val="00F74CA3"/>
    <w:rsid w:val="00F77A93"/>
    <w:rsid w:val="00F85ED5"/>
    <w:rsid w:val="00F87FC4"/>
    <w:rsid w:val="00F931B0"/>
    <w:rsid w:val="00FA5253"/>
    <w:rsid w:val="00FE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moorparkcollege.edu/departments/administrative/presidents_office/accreditation.s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2843A70A-CDC5-4799-9254-05C2DA89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CAP Minutes</dc:title>
  <dc:subject/>
  <dc:creator>lputnam</dc:creator>
  <cp:keywords/>
  <dc:description>Annotated at the meeting</dc:description>
  <cp:lastModifiedBy>lisamiller</cp:lastModifiedBy>
  <cp:revision>2</cp:revision>
  <cp:lastPrinted>2010-08-18T23:42:00Z</cp:lastPrinted>
  <dcterms:created xsi:type="dcterms:W3CDTF">2010-09-29T20:01:00Z</dcterms:created>
  <dcterms:modified xsi:type="dcterms:W3CDTF">2010-09-29T20:01:00Z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