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D22E8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F64EA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F931B0">
        <w:rPr>
          <w:rFonts w:cs="Arial"/>
          <w:b/>
          <w:bCs w:val="0"/>
        </w:rPr>
        <w:t xml:space="preserve"> </w:t>
      </w:r>
      <w:r w:rsidR="006A3F83">
        <w:rPr>
          <w:rFonts w:cs="Arial"/>
          <w:b/>
          <w:bCs w:val="0"/>
        </w:rPr>
        <w:t>25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2574C1" w:rsidP="006A3F83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2574C1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2574C1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2574C1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2574C1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E24AC5" w:rsidRDefault="001F6EBB" w:rsidP="00F931B0">
            <w:pPr>
              <w:rPr>
                <w:strike/>
                <w:sz w:val="16"/>
                <w:szCs w:val="16"/>
              </w:rPr>
            </w:pPr>
            <w:r w:rsidRPr="00E24AC5">
              <w:rPr>
                <w:strike/>
                <w:sz w:val="16"/>
                <w:szCs w:val="16"/>
              </w:rPr>
              <w:t>Jan. 28</w:t>
            </w:r>
            <w:r w:rsidR="00664425" w:rsidRPr="00E24AC5">
              <w:rPr>
                <w:strike/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862026" w:rsidRDefault="00664425" w:rsidP="00E13675">
            <w:pPr>
              <w:rPr>
                <w:strike/>
                <w:sz w:val="16"/>
                <w:szCs w:val="16"/>
              </w:rPr>
            </w:pPr>
            <w:r w:rsidRPr="00862026">
              <w:rPr>
                <w:strike/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15C49" w:rsidP="00615C49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Oct</w:t>
            </w:r>
            <w:r w:rsidR="000678D5" w:rsidRPr="00D907C7">
              <w:rPr>
                <w:strike/>
                <w:sz w:val="16"/>
                <w:szCs w:val="16"/>
              </w:rPr>
              <w:t>. 2</w:t>
            </w:r>
            <w:r w:rsidR="00664425" w:rsidRPr="00D907C7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64425" w:rsidP="00E13675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E24AC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6A3F83">
        <w:rPr>
          <w:rFonts w:cs="Arial"/>
          <w:szCs w:val="22"/>
        </w:rPr>
        <w:t>Jan. 28, 2014</w:t>
      </w:r>
      <w:r w:rsidR="00862026">
        <w:rPr>
          <w:rFonts w:cs="Arial"/>
          <w:szCs w:val="22"/>
        </w:rPr>
        <w:t xml:space="preserve"> and Feb. 25, 2014</w:t>
      </w:r>
    </w:p>
    <w:p w:rsidR="00D22E81" w:rsidRPr="00ED25C9" w:rsidRDefault="00FA5253" w:rsidP="00ED25C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D22E81">
        <w:rPr>
          <w:rFonts w:cs="Arial"/>
          <w:szCs w:val="22"/>
        </w:rPr>
        <w:t>Discussion:</w:t>
      </w:r>
      <w:r w:rsidR="00316933" w:rsidRPr="00D22E81">
        <w:rPr>
          <w:rFonts w:cs="Arial"/>
          <w:szCs w:val="22"/>
        </w:rPr>
        <w:t xml:space="preserve"> </w:t>
      </w:r>
      <w:r w:rsidR="00D22E81" w:rsidRPr="00D22E81">
        <w:rPr>
          <w:rFonts w:cs="Arial"/>
          <w:szCs w:val="22"/>
        </w:rPr>
        <w:t>to approve the mi</w:t>
      </w:r>
      <w:r w:rsidR="00D22E81">
        <w:rPr>
          <w:rFonts w:cs="Arial"/>
          <w:szCs w:val="22"/>
        </w:rPr>
        <w:t xml:space="preserve">nutes with minor corrections.  </w:t>
      </w:r>
      <w:r w:rsidR="00D22E81" w:rsidRPr="006A3F83">
        <w:rPr>
          <w:rFonts w:cs="Arial"/>
          <w:szCs w:val="22"/>
        </w:rPr>
        <w:t>Motion:</w:t>
      </w:r>
      <w:r w:rsidR="00A85978">
        <w:rPr>
          <w:rFonts w:cs="Arial"/>
          <w:szCs w:val="22"/>
        </w:rPr>
        <w:t xml:space="preserve"> Martin Chetlen moved and Chris Cole seconded the January minutes which were approved </w:t>
      </w:r>
      <w:r w:rsidR="00EC442C">
        <w:rPr>
          <w:rFonts w:cs="Arial"/>
          <w:szCs w:val="22"/>
        </w:rPr>
        <w:t>unanimously</w:t>
      </w:r>
      <w:r w:rsidR="00A85978">
        <w:rPr>
          <w:rFonts w:cs="Arial"/>
          <w:szCs w:val="22"/>
        </w:rPr>
        <w:t xml:space="preserve">.  Motion:  Bonnie Baruch moved and Dan Viera seconded the February minutes which were approved </w:t>
      </w:r>
      <w:r w:rsidR="00EC442C">
        <w:rPr>
          <w:rFonts w:cs="Arial"/>
          <w:szCs w:val="22"/>
        </w:rPr>
        <w:t>unanimously</w:t>
      </w:r>
    </w:p>
    <w:p w:rsidR="006A3F83" w:rsidRPr="00F5725A" w:rsidRDefault="006A3F83" w:rsidP="00F5725A">
      <w:pPr>
        <w:rPr>
          <w:rFonts w:cs="Arial"/>
          <w:szCs w:val="22"/>
        </w:rPr>
      </w:pPr>
    </w:p>
    <w:p w:rsidR="0099533C" w:rsidRDefault="0099533C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Making Decision Document-feedback to EVP and Mary Rees</w:t>
      </w:r>
    </w:p>
    <w:p w:rsidR="004345D3" w:rsidRPr="004345D3" w:rsidRDefault="00083FA1" w:rsidP="004345D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Mary mentioned that she has</w:t>
      </w:r>
      <w:r w:rsidR="00947549">
        <w:rPr>
          <w:rFonts w:cs="Arial"/>
          <w:szCs w:val="22"/>
        </w:rPr>
        <w:t xml:space="preserve"> already received feedback on the </w:t>
      </w:r>
      <w:r w:rsidRPr="00083FA1">
        <w:rPr>
          <w:rFonts w:cs="Arial"/>
          <w:i/>
          <w:szCs w:val="22"/>
        </w:rPr>
        <w:t xml:space="preserve">Making Decisions </w:t>
      </w:r>
      <w:r w:rsidR="00947549">
        <w:rPr>
          <w:rFonts w:cs="Arial"/>
          <w:szCs w:val="22"/>
        </w:rPr>
        <w:t>document and it will be placed on the  portal soon for general campus feedback before being voted on by the Academic Senate.</w:t>
      </w: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99533C" w:rsidRDefault="0099533C" w:rsidP="0099533C">
      <w:pPr>
        <w:pStyle w:val="ListParagraph"/>
        <w:ind w:left="1080"/>
        <w:rPr>
          <w:rFonts w:cs="Arial"/>
          <w:szCs w:val="22"/>
        </w:rPr>
      </w:pPr>
    </w:p>
    <w:p w:rsidR="00D86E1B" w:rsidRDefault="006A3F83" w:rsidP="00D86E1B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Program Plans-suggestions for </w:t>
      </w:r>
      <w:r w:rsidR="000219B4">
        <w:rPr>
          <w:rFonts w:cs="Arial"/>
          <w:szCs w:val="22"/>
        </w:rPr>
        <w:t>improvements (Lisa</w:t>
      </w:r>
      <w:r w:rsidR="00083FA1">
        <w:rPr>
          <w:rFonts w:cs="Arial"/>
          <w:szCs w:val="22"/>
        </w:rPr>
        <w:t xml:space="preserve"> Putnam</w:t>
      </w:r>
      <w:r w:rsidR="000219B4">
        <w:rPr>
          <w:rFonts w:cs="Arial"/>
          <w:szCs w:val="22"/>
        </w:rPr>
        <w:t>)</w:t>
      </w:r>
      <w:r w:rsidR="00947549">
        <w:rPr>
          <w:rFonts w:cs="Arial"/>
          <w:szCs w:val="22"/>
        </w:rPr>
        <w:tab/>
      </w:r>
    </w:p>
    <w:p w:rsidR="00947549" w:rsidRDefault="00947549" w:rsidP="00D86E1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D86E1B">
        <w:rPr>
          <w:rFonts w:cs="Arial"/>
          <w:szCs w:val="22"/>
        </w:rPr>
        <w:t>Lisa provi</w:t>
      </w:r>
      <w:r w:rsidR="00083FA1">
        <w:rPr>
          <w:rFonts w:cs="Arial"/>
          <w:szCs w:val="22"/>
        </w:rPr>
        <w:t xml:space="preserve">ded handouts of screen shots of </w:t>
      </w:r>
      <w:r w:rsidRPr="00D86E1B">
        <w:rPr>
          <w:rFonts w:cs="Arial"/>
          <w:szCs w:val="22"/>
        </w:rPr>
        <w:t>proposed improvement</w:t>
      </w:r>
      <w:r w:rsidR="00083FA1">
        <w:rPr>
          <w:rFonts w:cs="Arial"/>
          <w:szCs w:val="22"/>
        </w:rPr>
        <w:t>s</w:t>
      </w:r>
      <w:r w:rsidRPr="00D86E1B">
        <w:rPr>
          <w:rFonts w:cs="Arial"/>
          <w:szCs w:val="22"/>
        </w:rPr>
        <w:t xml:space="preserve"> </w:t>
      </w:r>
      <w:r w:rsidR="00083FA1">
        <w:rPr>
          <w:rFonts w:cs="Arial"/>
          <w:szCs w:val="22"/>
        </w:rPr>
        <w:t xml:space="preserve">for department program plans </w:t>
      </w:r>
      <w:r w:rsidRPr="00D86E1B">
        <w:rPr>
          <w:rFonts w:cs="Arial"/>
          <w:szCs w:val="22"/>
        </w:rPr>
        <w:t>based on previous discussions.  She walked the committee through the TracDat document</w:t>
      </w:r>
      <w:r w:rsidR="00083FA1">
        <w:rPr>
          <w:rFonts w:cs="Arial"/>
          <w:szCs w:val="22"/>
        </w:rPr>
        <w:t xml:space="preserve"> revisions</w:t>
      </w:r>
      <w:r w:rsidRPr="00D86E1B">
        <w:rPr>
          <w:rFonts w:cs="Arial"/>
          <w:szCs w:val="22"/>
        </w:rPr>
        <w:t>.</w:t>
      </w:r>
    </w:p>
    <w:p w:rsidR="00D86E1B" w:rsidRDefault="00D86E1B" w:rsidP="00D86E1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Feedback was received on a few items</w:t>
      </w:r>
      <w:r w:rsidR="00083FA1">
        <w:rPr>
          <w:rFonts w:cs="Arial"/>
          <w:szCs w:val="22"/>
        </w:rPr>
        <w:t xml:space="preserve"> and noted by Lisa.  </w:t>
      </w:r>
    </w:p>
    <w:p w:rsidR="00D86E1B" w:rsidRDefault="00D86E1B" w:rsidP="00D86E1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In</w:t>
      </w:r>
      <w:r w:rsidR="00083FA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jane </w:t>
      </w:r>
      <w:r w:rsidR="00BF392A">
        <w:rPr>
          <w:rFonts w:cs="Arial"/>
          <w:szCs w:val="22"/>
        </w:rPr>
        <w:t>Nicklas</w:t>
      </w:r>
      <w:r w:rsidR="00516C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suggested a crosswalk between the old Excel form and the new form for Student Services; perhaps this discussion could occur in Student Services Council.</w:t>
      </w:r>
      <w:r w:rsidR="000557A3">
        <w:rPr>
          <w:rFonts w:cs="Arial"/>
          <w:szCs w:val="22"/>
        </w:rPr>
        <w:t xml:space="preserve">  Lori will add this to the Student Services</w:t>
      </w:r>
      <w:r w:rsidR="00083FA1">
        <w:rPr>
          <w:rFonts w:cs="Arial"/>
          <w:szCs w:val="22"/>
        </w:rPr>
        <w:t xml:space="preserve"> Council a</w:t>
      </w:r>
      <w:r w:rsidR="000557A3">
        <w:rPr>
          <w:rFonts w:cs="Arial"/>
          <w:szCs w:val="22"/>
        </w:rPr>
        <w:t>genda.</w:t>
      </w:r>
    </w:p>
    <w:p w:rsidR="00D86E1B" w:rsidRDefault="00E81593" w:rsidP="00D86E1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083FA1">
        <w:rPr>
          <w:rFonts w:cs="Arial"/>
          <w:szCs w:val="22"/>
        </w:rPr>
        <w:t xml:space="preserve">ne of the biggest changes was to </w:t>
      </w:r>
      <w:r>
        <w:rPr>
          <w:rFonts w:cs="Arial"/>
          <w:szCs w:val="22"/>
        </w:rPr>
        <w:t>s</w:t>
      </w:r>
      <w:r w:rsidR="00083FA1">
        <w:rPr>
          <w:rFonts w:cs="Arial"/>
          <w:szCs w:val="22"/>
        </w:rPr>
        <w:t>eparate the</w:t>
      </w:r>
      <w:r w:rsidR="002E113C">
        <w:rPr>
          <w:rFonts w:cs="Arial"/>
          <w:szCs w:val="22"/>
        </w:rPr>
        <w:t xml:space="preserve"> resource request tab from program-plan tab.  This should help align the follow-up information </w:t>
      </w:r>
      <w:r w:rsidR="00083FA1">
        <w:rPr>
          <w:rFonts w:cs="Arial"/>
          <w:szCs w:val="22"/>
        </w:rPr>
        <w:t xml:space="preserve">for resource request </w:t>
      </w:r>
      <w:r w:rsidR="002E113C">
        <w:rPr>
          <w:rFonts w:cs="Arial"/>
          <w:szCs w:val="22"/>
        </w:rPr>
        <w:t>better than the old format.</w:t>
      </w:r>
      <w:r w:rsidR="00DD0EAF">
        <w:rPr>
          <w:rFonts w:cs="Arial"/>
          <w:szCs w:val="22"/>
        </w:rPr>
        <w:t xml:space="preserve">  This change received positive feedback</w:t>
      </w:r>
      <w:r w:rsidR="00083FA1">
        <w:rPr>
          <w:rFonts w:cs="Arial"/>
          <w:szCs w:val="22"/>
        </w:rPr>
        <w:t xml:space="preserve"> from the committee</w:t>
      </w:r>
      <w:r w:rsidR="00DD0EAF">
        <w:rPr>
          <w:rFonts w:cs="Arial"/>
          <w:szCs w:val="22"/>
        </w:rPr>
        <w:t>.</w:t>
      </w:r>
    </w:p>
    <w:p w:rsidR="003E1379" w:rsidRDefault="003E1379" w:rsidP="00D86E1B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In April,</w:t>
      </w:r>
      <w:r w:rsidR="00083FA1">
        <w:rPr>
          <w:rFonts w:cs="Arial"/>
          <w:szCs w:val="22"/>
        </w:rPr>
        <w:t xml:space="preserve"> EdCAP</w:t>
      </w:r>
      <w:r>
        <w:rPr>
          <w:rFonts w:cs="Arial"/>
          <w:szCs w:val="22"/>
        </w:rPr>
        <w:t xml:space="preserve"> will vote on the changes </w:t>
      </w:r>
      <w:r w:rsidR="004036B8">
        <w:rPr>
          <w:rFonts w:cs="Arial"/>
          <w:szCs w:val="22"/>
        </w:rPr>
        <w:t>discussed</w:t>
      </w:r>
      <w:r>
        <w:rPr>
          <w:rFonts w:cs="Arial"/>
          <w:szCs w:val="22"/>
        </w:rPr>
        <w:t xml:space="preserve"> today.</w:t>
      </w:r>
    </w:p>
    <w:p w:rsidR="00DD0EAF" w:rsidRDefault="00BB2A0A" w:rsidP="00DD0EAF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Training for TracDat will be offered during the Fall Flex week</w:t>
      </w:r>
      <w:r w:rsidR="00DD0EAF">
        <w:rPr>
          <w:rFonts w:cs="Arial"/>
          <w:szCs w:val="22"/>
        </w:rPr>
        <w:t>.</w:t>
      </w:r>
    </w:p>
    <w:p w:rsidR="00DD1D5F" w:rsidRPr="00DD0EAF" w:rsidRDefault="00DD1D5F" w:rsidP="00DD0EAF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Please email Lisa with any addition</w:t>
      </w:r>
      <w:r w:rsidR="00083FA1">
        <w:rPr>
          <w:rFonts w:cs="Arial"/>
          <w:szCs w:val="22"/>
        </w:rPr>
        <w:t>al</w:t>
      </w:r>
      <w:r>
        <w:rPr>
          <w:rFonts w:cs="Arial"/>
          <w:szCs w:val="22"/>
        </w:rPr>
        <w:t xml:space="preserve"> suggestions/corrections</w:t>
      </w:r>
      <w:r w:rsidR="00403B41">
        <w:rPr>
          <w:rFonts w:cs="Arial"/>
          <w:szCs w:val="22"/>
        </w:rPr>
        <w:t>.</w:t>
      </w:r>
    </w:p>
    <w:p w:rsidR="00A8113D" w:rsidRPr="003621C7" w:rsidRDefault="00A8113D" w:rsidP="003621C7">
      <w:pPr>
        <w:rPr>
          <w:rFonts w:cs="Arial"/>
          <w:szCs w:val="22"/>
        </w:rPr>
      </w:pPr>
    </w:p>
    <w:p w:rsidR="00420558" w:rsidRPr="00862026" w:rsidRDefault="00420558" w:rsidP="00862026">
      <w:pPr>
        <w:rPr>
          <w:rFonts w:cs="Arial"/>
          <w:szCs w:val="22"/>
        </w:rPr>
      </w:pPr>
    </w:p>
    <w:p w:rsidR="003621C7" w:rsidRDefault="00862026" w:rsidP="0086202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 re</w:t>
      </w:r>
      <w:r w:rsidR="00FC31B8">
        <w:rPr>
          <w:rFonts w:cs="Arial"/>
          <w:szCs w:val="22"/>
        </w:rPr>
        <w:t>po</w:t>
      </w:r>
      <w:r w:rsidR="00C71AC8">
        <w:rPr>
          <w:rFonts w:cs="Arial"/>
          <w:szCs w:val="22"/>
        </w:rPr>
        <w:t>rt out</w:t>
      </w:r>
    </w:p>
    <w:p w:rsidR="00862026" w:rsidRPr="00087473" w:rsidRDefault="00085A8B" w:rsidP="0008747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Standar</w:t>
      </w:r>
      <w:r w:rsidR="00862026">
        <w:rPr>
          <w:rFonts w:cs="Arial"/>
          <w:szCs w:val="22"/>
        </w:rPr>
        <w:t xml:space="preserve">d 1A </w:t>
      </w:r>
      <w:r w:rsidR="00087473">
        <w:rPr>
          <w:rFonts w:cs="Arial"/>
          <w:szCs w:val="22"/>
        </w:rPr>
        <w:t xml:space="preserve">&amp; 1B Table was projected to illustrate the information presented by Lydia </w:t>
      </w:r>
      <w:r w:rsidR="00516CF7">
        <w:rPr>
          <w:rFonts w:cs="Arial"/>
          <w:szCs w:val="22"/>
        </w:rPr>
        <w:t xml:space="preserve">Etman </w:t>
      </w:r>
      <w:r w:rsidR="00087473">
        <w:rPr>
          <w:rFonts w:cs="Arial"/>
          <w:szCs w:val="22"/>
        </w:rPr>
        <w:t>and Amanuel</w:t>
      </w:r>
      <w:r w:rsidR="00516CF7">
        <w:rPr>
          <w:rFonts w:cs="Arial"/>
          <w:szCs w:val="22"/>
        </w:rPr>
        <w:t xml:space="preserve"> Gebru</w:t>
      </w:r>
      <w:r w:rsidR="00087473">
        <w:rPr>
          <w:rFonts w:cs="Arial"/>
          <w:szCs w:val="22"/>
        </w:rPr>
        <w:t>.  The focus of the presentation was on potential gaps &amp;/or suggestions for improvements.</w:t>
      </w:r>
    </w:p>
    <w:p w:rsidR="00862026" w:rsidRDefault="00862026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1563D0">
        <w:rPr>
          <w:rFonts w:cs="Arial"/>
          <w:szCs w:val="22"/>
        </w:rPr>
        <w:t>tandard 3B</w:t>
      </w:r>
      <w:r w:rsidR="00B14315">
        <w:rPr>
          <w:rFonts w:cs="Arial"/>
          <w:szCs w:val="22"/>
        </w:rPr>
        <w:t xml:space="preserve"> was presented by Jack Miller and </w:t>
      </w:r>
      <w:r w:rsidR="003F0AEB">
        <w:rPr>
          <w:rFonts w:cs="Arial"/>
          <w:szCs w:val="22"/>
        </w:rPr>
        <w:t xml:space="preserve">prepared in consultation with John Sinutko.  The information was documented an outline form.  The group </w:t>
      </w:r>
      <w:r w:rsidR="00D71425">
        <w:rPr>
          <w:rFonts w:cs="Arial"/>
          <w:szCs w:val="22"/>
        </w:rPr>
        <w:t xml:space="preserve">did not find any obvious </w:t>
      </w:r>
      <w:r w:rsidR="00B14315">
        <w:rPr>
          <w:rFonts w:cs="Arial"/>
          <w:szCs w:val="22"/>
        </w:rPr>
        <w:t>gaps.</w:t>
      </w:r>
      <w:r w:rsidR="00D466A8">
        <w:rPr>
          <w:rFonts w:cs="Arial"/>
          <w:szCs w:val="22"/>
        </w:rPr>
        <w:t xml:space="preserve"> It was requested </w:t>
      </w:r>
      <w:r w:rsidR="00D71425">
        <w:rPr>
          <w:rFonts w:cs="Arial"/>
          <w:szCs w:val="22"/>
        </w:rPr>
        <w:t>that the information presented be</w:t>
      </w:r>
      <w:r w:rsidR="00D466A8">
        <w:rPr>
          <w:rFonts w:cs="Arial"/>
          <w:szCs w:val="22"/>
        </w:rPr>
        <w:t xml:space="preserve"> incorporate</w:t>
      </w:r>
      <w:r w:rsidR="00D71425">
        <w:rPr>
          <w:rFonts w:cs="Arial"/>
          <w:szCs w:val="22"/>
        </w:rPr>
        <w:t>d</w:t>
      </w:r>
      <w:r w:rsidR="00D466A8">
        <w:rPr>
          <w:rFonts w:cs="Arial"/>
          <w:szCs w:val="22"/>
        </w:rPr>
        <w:t xml:space="preserve"> into the standard table.</w:t>
      </w:r>
    </w:p>
    <w:p w:rsidR="001563D0" w:rsidRDefault="00862026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Standard </w:t>
      </w:r>
      <w:r w:rsidR="001563D0">
        <w:rPr>
          <w:rFonts w:cs="Arial"/>
          <w:szCs w:val="22"/>
        </w:rPr>
        <w:t xml:space="preserve"> 3A, 3C, 3D will report out </w:t>
      </w:r>
      <w:r w:rsidR="00D71425">
        <w:rPr>
          <w:rFonts w:cs="Arial"/>
          <w:szCs w:val="22"/>
        </w:rPr>
        <w:t xml:space="preserve">at the </w:t>
      </w:r>
      <w:r w:rsidR="001563D0">
        <w:rPr>
          <w:rFonts w:cs="Arial"/>
          <w:szCs w:val="22"/>
        </w:rPr>
        <w:t>next meeting.</w:t>
      </w:r>
    </w:p>
    <w:p w:rsidR="00862026" w:rsidRDefault="001563D0" w:rsidP="0086202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Standard  </w:t>
      </w:r>
      <w:r w:rsidR="00862026">
        <w:rPr>
          <w:rFonts w:cs="Arial"/>
          <w:szCs w:val="22"/>
        </w:rPr>
        <w:t>4A &amp; 4B</w:t>
      </w:r>
      <w:r>
        <w:rPr>
          <w:rFonts w:cs="Arial"/>
          <w:szCs w:val="22"/>
        </w:rPr>
        <w:t xml:space="preserve"> will report out </w:t>
      </w:r>
      <w:r w:rsidR="00D71425">
        <w:rPr>
          <w:rFonts w:cs="Arial"/>
          <w:szCs w:val="22"/>
        </w:rPr>
        <w:t xml:space="preserve">at the </w:t>
      </w:r>
      <w:r>
        <w:rPr>
          <w:rFonts w:cs="Arial"/>
          <w:szCs w:val="22"/>
        </w:rPr>
        <w:t>next meeting.</w:t>
      </w:r>
    </w:p>
    <w:p w:rsidR="00282790" w:rsidRDefault="000870BB" w:rsidP="007A51E6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It was s</w:t>
      </w:r>
      <w:r w:rsidR="001563D0" w:rsidRPr="001563D0">
        <w:rPr>
          <w:rFonts w:cs="Arial"/>
          <w:szCs w:val="22"/>
        </w:rPr>
        <w:t xml:space="preserve">uggestion </w:t>
      </w:r>
      <w:r>
        <w:rPr>
          <w:rFonts w:cs="Arial"/>
          <w:szCs w:val="22"/>
        </w:rPr>
        <w:t>that group document</w:t>
      </w:r>
      <w:r w:rsidR="001563D0" w:rsidRPr="001563D0">
        <w:rPr>
          <w:rFonts w:cs="Arial"/>
          <w:szCs w:val="22"/>
        </w:rPr>
        <w:t xml:space="preserve"> non-members who co</w:t>
      </w:r>
      <w:r>
        <w:rPr>
          <w:rFonts w:cs="Arial"/>
          <w:szCs w:val="22"/>
        </w:rPr>
        <w:t xml:space="preserve">ntributed to the discussion and/or </w:t>
      </w:r>
      <w:r w:rsidR="001563D0" w:rsidRPr="001563D0">
        <w:rPr>
          <w:rFonts w:cs="Arial"/>
          <w:szCs w:val="22"/>
        </w:rPr>
        <w:t>supplied ev</w:t>
      </w:r>
      <w:r w:rsidR="001563D0">
        <w:rPr>
          <w:rFonts w:cs="Arial"/>
          <w:szCs w:val="22"/>
        </w:rPr>
        <w:t>idence</w:t>
      </w:r>
      <w:r>
        <w:rPr>
          <w:rFonts w:cs="Arial"/>
          <w:szCs w:val="22"/>
        </w:rPr>
        <w:t xml:space="preserve"> for their </w:t>
      </w:r>
      <w:r w:rsidR="006A004B">
        <w:rPr>
          <w:rFonts w:cs="Arial"/>
          <w:szCs w:val="22"/>
        </w:rPr>
        <w:t>S</w:t>
      </w:r>
      <w:r>
        <w:rPr>
          <w:rFonts w:cs="Arial"/>
          <w:szCs w:val="22"/>
        </w:rPr>
        <w:t>tandard</w:t>
      </w:r>
    </w:p>
    <w:p w:rsidR="002D1753" w:rsidRPr="00995B7E" w:rsidRDefault="00064268" w:rsidP="00995B7E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The Distance Education (DE) Standard Committee</w:t>
      </w:r>
      <w:r w:rsidR="00995B7E">
        <w:rPr>
          <w:rFonts w:cs="Arial"/>
          <w:szCs w:val="22"/>
        </w:rPr>
        <w:t xml:space="preserve"> had </w:t>
      </w:r>
      <w:r>
        <w:rPr>
          <w:rFonts w:cs="Arial"/>
          <w:szCs w:val="22"/>
        </w:rPr>
        <w:t xml:space="preserve">a </w:t>
      </w:r>
      <w:r w:rsidR="00995B7E">
        <w:rPr>
          <w:rFonts w:cs="Arial"/>
          <w:szCs w:val="22"/>
        </w:rPr>
        <w:t xml:space="preserve">concern regarding the duplicate </w:t>
      </w:r>
      <w:r w:rsidR="00B74C1A">
        <w:rPr>
          <w:rFonts w:cs="Arial"/>
          <w:szCs w:val="22"/>
        </w:rPr>
        <w:t xml:space="preserve">and extensive </w:t>
      </w:r>
      <w:r w:rsidR="00995B7E">
        <w:rPr>
          <w:rFonts w:cs="Arial"/>
          <w:szCs w:val="22"/>
        </w:rPr>
        <w:t xml:space="preserve">information found in the regular Standard criteria and DE. </w:t>
      </w:r>
      <w:r w:rsidR="006A004B">
        <w:rPr>
          <w:rFonts w:cs="Arial"/>
          <w:szCs w:val="22"/>
        </w:rPr>
        <w:t xml:space="preserve"> Are colleges incorporating the DE information with each Standard or are they created separate </w:t>
      </w:r>
      <w:r w:rsidR="004036B8">
        <w:rPr>
          <w:rFonts w:cs="Arial"/>
          <w:szCs w:val="22"/>
        </w:rPr>
        <w:t>parallel</w:t>
      </w:r>
      <w:r w:rsidR="006A004B">
        <w:rPr>
          <w:rFonts w:cs="Arial"/>
          <w:szCs w:val="22"/>
        </w:rPr>
        <w:t xml:space="preserve"> reports?  Lori Bennett said she would investigate this question.</w:t>
      </w:r>
    </w:p>
    <w:p w:rsidR="004E158A" w:rsidRDefault="004E158A" w:rsidP="008F1A40">
      <w:pPr>
        <w:ind w:left="720"/>
        <w:rPr>
          <w:rFonts w:cs="Arial"/>
          <w:szCs w:val="22"/>
        </w:rPr>
      </w:pPr>
    </w:p>
    <w:p w:rsidR="002D1753" w:rsidRDefault="002D1753" w:rsidP="002D175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2D1753">
        <w:rPr>
          <w:rFonts w:cs="Arial"/>
          <w:szCs w:val="22"/>
        </w:rPr>
        <w:lastRenderedPageBreak/>
        <w:t>Announcements</w:t>
      </w:r>
    </w:p>
    <w:p w:rsidR="002D1753" w:rsidRPr="001563D0" w:rsidRDefault="002D1753" w:rsidP="002D175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Nenagh </w:t>
      </w:r>
      <w:r w:rsidR="004036B8">
        <w:rPr>
          <w:rFonts w:cs="Arial"/>
          <w:szCs w:val="22"/>
        </w:rPr>
        <w:t xml:space="preserve">Brown </w:t>
      </w:r>
      <w:r>
        <w:rPr>
          <w:rFonts w:cs="Arial"/>
          <w:szCs w:val="22"/>
        </w:rPr>
        <w:t>passed out flyers</w:t>
      </w:r>
      <w:r w:rsidR="004036B8">
        <w:rPr>
          <w:rFonts w:cs="Arial"/>
          <w:szCs w:val="22"/>
        </w:rPr>
        <w:t xml:space="preserve"> with information</w:t>
      </w:r>
      <w:r>
        <w:rPr>
          <w:rFonts w:cs="Arial"/>
          <w:szCs w:val="22"/>
        </w:rPr>
        <w:t xml:space="preserve"> for the CSUCI/MC Building Bridges Flyer</w:t>
      </w:r>
    </w:p>
    <w:p w:rsidR="002D1753" w:rsidRPr="002D1753" w:rsidRDefault="002D1753" w:rsidP="002D175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Mary</w:t>
      </w:r>
      <w:r w:rsidR="004036B8">
        <w:rPr>
          <w:rFonts w:cs="Arial"/>
          <w:szCs w:val="22"/>
        </w:rPr>
        <w:t xml:space="preserve"> Rees</w:t>
      </w:r>
      <w:r>
        <w:rPr>
          <w:rFonts w:cs="Arial"/>
          <w:szCs w:val="22"/>
        </w:rPr>
        <w:t xml:space="preserve"> announce</w:t>
      </w:r>
      <w:r w:rsidR="004036B8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the Forum being held for the 4 presidential candidates tomorrow</w:t>
      </w:r>
    </w:p>
    <w:p w:rsidR="002D1753" w:rsidRPr="002D1753" w:rsidRDefault="002D1753" w:rsidP="002D1753">
      <w:pPr>
        <w:pStyle w:val="ListParagraph"/>
        <w:ind w:left="1080"/>
        <w:rPr>
          <w:rFonts w:cs="Arial"/>
          <w:szCs w:val="22"/>
        </w:rPr>
      </w:pPr>
    </w:p>
    <w:p w:rsidR="00D159EF" w:rsidRDefault="002D1753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6.  </w:t>
      </w:r>
      <w:r w:rsidR="00100296" w:rsidRPr="00F01FBE">
        <w:rPr>
          <w:rFonts w:cs="Arial"/>
          <w:szCs w:val="22"/>
        </w:rPr>
        <w:t xml:space="preserve">Meeting adjourned at </w:t>
      </w:r>
      <w:r>
        <w:rPr>
          <w:rFonts w:cs="Arial"/>
          <w:szCs w:val="22"/>
        </w:rPr>
        <w:t>4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557A3"/>
    <w:rsid w:val="00064268"/>
    <w:rsid w:val="00064EB6"/>
    <w:rsid w:val="000678D5"/>
    <w:rsid w:val="00073705"/>
    <w:rsid w:val="00081D98"/>
    <w:rsid w:val="00083FA1"/>
    <w:rsid w:val="00085A8B"/>
    <w:rsid w:val="000870BB"/>
    <w:rsid w:val="00087408"/>
    <w:rsid w:val="00087473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01DD7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563D0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574C1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D1753"/>
    <w:rsid w:val="002E113C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E1379"/>
    <w:rsid w:val="003F0AEB"/>
    <w:rsid w:val="003F120A"/>
    <w:rsid w:val="003F3A96"/>
    <w:rsid w:val="003F5A9F"/>
    <w:rsid w:val="003F6E5B"/>
    <w:rsid w:val="004036B8"/>
    <w:rsid w:val="00403B41"/>
    <w:rsid w:val="004138AA"/>
    <w:rsid w:val="00414067"/>
    <w:rsid w:val="0041727A"/>
    <w:rsid w:val="00420558"/>
    <w:rsid w:val="00420AEB"/>
    <w:rsid w:val="00433E19"/>
    <w:rsid w:val="004345D3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760E6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6CF7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3891"/>
    <w:rsid w:val="005A51F2"/>
    <w:rsid w:val="005A738A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004B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A23"/>
    <w:rsid w:val="007B0B10"/>
    <w:rsid w:val="007B4795"/>
    <w:rsid w:val="007B57CA"/>
    <w:rsid w:val="007C1044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66F90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47549"/>
    <w:rsid w:val="00951616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5B7E"/>
    <w:rsid w:val="0099743B"/>
    <w:rsid w:val="009A3802"/>
    <w:rsid w:val="009B0F66"/>
    <w:rsid w:val="009D0799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85978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23F"/>
    <w:rsid w:val="00B11992"/>
    <w:rsid w:val="00B14315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4C1A"/>
    <w:rsid w:val="00B768DC"/>
    <w:rsid w:val="00B8024E"/>
    <w:rsid w:val="00B83538"/>
    <w:rsid w:val="00BA20B6"/>
    <w:rsid w:val="00BA20F9"/>
    <w:rsid w:val="00BA2131"/>
    <w:rsid w:val="00BA4153"/>
    <w:rsid w:val="00BA57E1"/>
    <w:rsid w:val="00BB2A0A"/>
    <w:rsid w:val="00BC31D8"/>
    <w:rsid w:val="00BC50C6"/>
    <w:rsid w:val="00BC7D03"/>
    <w:rsid w:val="00BD48AD"/>
    <w:rsid w:val="00BD67E9"/>
    <w:rsid w:val="00BE7D08"/>
    <w:rsid w:val="00BF3421"/>
    <w:rsid w:val="00BF392A"/>
    <w:rsid w:val="00BF413B"/>
    <w:rsid w:val="00C02510"/>
    <w:rsid w:val="00C0558B"/>
    <w:rsid w:val="00C073D6"/>
    <w:rsid w:val="00C14D4E"/>
    <w:rsid w:val="00C17549"/>
    <w:rsid w:val="00C264F6"/>
    <w:rsid w:val="00C515D1"/>
    <w:rsid w:val="00C53DF6"/>
    <w:rsid w:val="00C63E44"/>
    <w:rsid w:val="00C644D4"/>
    <w:rsid w:val="00C66DB8"/>
    <w:rsid w:val="00C71AC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2E81"/>
    <w:rsid w:val="00D2342A"/>
    <w:rsid w:val="00D237AF"/>
    <w:rsid w:val="00D25A75"/>
    <w:rsid w:val="00D30726"/>
    <w:rsid w:val="00D4375F"/>
    <w:rsid w:val="00D44858"/>
    <w:rsid w:val="00D45806"/>
    <w:rsid w:val="00D466A8"/>
    <w:rsid w:val="00D4705E"/>
    <w:rsid w:val="00D60C80"/>
    <w:rsid w:val="00D66648"/>
    <w:rsid w:val="00D70AAB"/>
    <w:rsid w:val="00D71425"/>
    <w:rsid w:val="00D770C0"/>
    <w:rsid w:val="00D83416"/>
    <w:rsid w:val="00D842E4"/>
    <w:rsid w:val="00D86527"/>
    <w:rsid w:val="00D86E1B"/>
    <w:rsid w:val="00D907C7"/>
    <w:rsid w:val="00D91385"/>
    <w:rsid w:val="00DA2039"/>
    <w:rsid w:val="00DA6E21"/>
    <w:rsid w:val="00DB5729"/>
    <w:rsid w:val="00DC6FB8"/>
    <w:rsid w:val="00DD0EAF"/>
    <w:rsid w:val="00DD1D5F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1593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C442C"/>
    <w:rsid w:val="00ED1D84"/>
    <w:rsid w:val="00ED25C9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D743F"/>
    <w:rsid w:val="00FE2D31"/>
    <w:rsid w:val="00FE31B5"/>
    <w:rsid w:val="00FE4C19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24D1ECA-BA38-4419-8F0A-86F01315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2014-04-23T15:29:00Z</dcterms:created>
  <dcterms:modified xsi:type="dcterms:W3CDTF">2014-04-23T15:29:00Z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