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2E83" w14:textId="78996DC8" w:rsidR="002B33D7" w:rsidRDefault="002B33D7" w:rsidP="002B33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E75322">
        <w:rPr>
          <w:rFonts w:ascii="Times New Roman" w:hAnsi="Times New Roman" w:cs="Times New Roman"/>
          <w:sz w:val="32"/>
          <w:szCs w:val="32"/>
        </w:rPr>
        <w:t xml:space="preserve">cademic Senate Goals </w:t>
      </w:r>
      <w:r w:rsidR="008F0477">
        <w:rPr>
          <w:rFonts w:ascii="Times New Roman" w:hAnsi="Times New Roman" w:cs="Times New Roman"/>
          <w:sz w:val="32"/>
          <w:szCs w:val="32"/>
        </w:rPr>
        <w:t xml:space="preserve">and Accomplishments </w:t>
      </w:r>
      <w:r w:rsidR="00E75322">
        <w:rPr>
          <w:rFonts w:ascii="Times New Roman" w:hAnsi="Times New Roman" w:cs="Times New Roman"/>
          <w:sz w:val="32"/>
          <w:szCs w:val="32"/>
        </w:rPr>
        <w:t>for 20</w:t>
      </w:r>
      <w:r w:rsidR="0053374E">
        <w:rPr>
          <w:rFonts w:ascii="Times New Roman" w:hAnsi="Times New Roman" w:cs="Times New Roman"/>
          <w:sz w:val="32"/>
          <w:szCs w:val="32"/>
        </w:rPr>
        <w:t>20-2021</w:t>
      </w:r>
    </w:p>
    <w:p w14:paraId="149DB702" w14:textId="28679C3D" w:rsidR="00F77EA8" w:rsidRPr="00F77EA8" w:rsidRDefault="00F77EA8" w:rsidP="002B33D7">
      <w:pPr>
        <w:jc w:val="center"/>
        <w:rPr>
          <w:rFonts w:ascii="Times New Roman" w:hAnsi="Times New Roman" w:cs="Times New Roman"/>
          <w:sz w:val="24"/>
          <w:szCs w:val="24"/>
        </w:rPr>
      </w:pPr>
      <w:r w:rsidRPr="00F77EA8">
        <w:rPr>
          <w:rFonts w:ascii="Times New Roman" w:hAnsi="Times New Roman" w:cs="Times New Roman"/>
          <w:sz w:val="24"/>
          <w:szCs w:val="24"/>
        </w:rPr>
        <w:t>Ratified by Academic Senate Council 202</w:t>
      </w:r>
      <w:r w:rsidR="00E747A7">
        <w:rPr>
          <w:rFonts w:ascii="Times New Roman" w:hAnsi="Times New Roman" w:cs="Times New Roman"/>
          <w:sz w:val="24"/>
          <w:szCs w:val="24"/>
        </w:rPr>
        <w:t>1-??-??</w:t>
      </w:r>
    </w:p>
    <w:p w14:paraId="0C2F26BA" w14:textId="77777777" w:rsidR="00D518B0" w:rsidRDefault="00D518B0" w:rsidP="002B33D7">
      <w:pPr>
        <w:rPr>
          <w:rFonts w:ascii="Times New Roman" w:hAnsi="Times New Roman" w:cs="Times New Roman"/>
          <w:sz w:val="24"/>
          <w:szCs w:val="24"/>
        </w:rPr>
      </w:pPr>
    </w:p>
    <w:p w14:paraId="47AE8B71" w14:textId="3614E01A" w:rsidR="002B33D7" w:rsidRDefault="00B208BE" w:rsidP="002B3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</w:t>
      </w:r>
      <w:r w:rsidR="00357BC1">
        <w:rPr>
          <w:rFonts w:ascii="Times New Roman" w:hAnsi="Times New Roman" w:cs="Times New Roman"/>
          <w:sz w:val="24"/>
          <w:szCs w:val="24"/>
        </w:rPr>
        <w:t>the final goals ranked by vote by senators, combining ideas gathered at t</w:t>
      </w:r>
      <w:r>
        <w:rPr>
          <w:rFonts w:ascii="Times New Roman" w:hAnsi="Times New Roman" w:cs="Times New Roman"/>
          <w:sz w:val="24"/>
          <w:szCs w:val="24"/>
        </w:rPr>
        <w:t>he A</w:t>
      </w:r>
      <w:r w:rsidR="00ED2824">
        <w:rPr>
          <w:rFonts w:ascii="Times New Roman" w:hAnsi="Times New Roman" w:cs="Times New Roman"/>
          <w:sz w:val="24"/>
          <w:szCs w:val="24"/>
        </w:rPr>
        <w:t xml:space="preserve">cademic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D2824">
        <w:rPr>
          <w:rFonts w:ascii="Times New Roman" w:hAnsi="Times New Roman" w:cs="Times New Roman"/>
          <w:sz w:val="24"/>
          <w:szCs w:val="24"/>
        </w:rPr>
        <w:t>enate</w:t>
      </w:r>
      <w:r>
        <w:rPr>
          <w:rFonts w:ascii="Times New Roman" w:hAnsi="Times New Roman" w:cs="Times New Roman"/>
          <w:sz w:val="24"/>
          <w:szCs w:val="24"/>
        </w:rPr>
        <w:t xml:space="preserve"> Planning Session </w:t>
      </w:r>
      <w:r w:rsidR="00787629">
        <w:rPr>
          <w:rFonts w:ascii="Times New Roman" w:hAnsi="Times New Roman" w:cs="Times New Roman"/>
          <w:sz w:val="24"/>
          <w:szCs w:val="24"/>
        </w:rPr>
        <w:t>on August 1</w:t>
      </w:r>
      <w:r w:rsidR="006A741F">
        <w:rPr>
          <w:rFonts w:ascii="Times New Roman" w:hAnsi="Times New Roman" w:cs="Times New Roman"/>
          <w:sz w:val="24"/>
          <w:szCs w:val="24"/>
        </w:rPr>
        <w:t xml:space="preserve">2, </w:t>
      </w:r>
      <w:r w:rsidR="00787629">
        <w:rPr>
          <w:rFonts w:ascii="Times New Roman" w:hAnsi="Times New Roman" w:cs="Times New Roman"/>
          <w:sz w:val="24"/>
          <w:szCs w:val="24"/>
        </w:rPr>
        <w:t>the A</w:t>
      </w:r>
      <w:r w:rsidR="00357BC1">
        <w:rPr>
          <w:rFonts w:ascii="Times New Roman" w:hAnsi="Times New Roman" w:cs="Times New Roman"/>
          <w:sz w:val="24"/>
          <w:szCs w:val="24"/>
        </w:rPr>
        <w:t>S General Meeting on August 1</w:t>
      </w:r>
      <w:r w:rsidR="006A741F">
        <w:rPr>
          <w:rFonts w:ascii="Times New Roman" w:hAnsi="Times New Roman" w:cs="Times New Roman"/>
          <w:sz w:val="24"/>
          <w:szCs w:val="24"/>
        </w:rPr>
        <w:t>4, and Senate Council on August 18 and September 1</w:t>
      </w:r>
      <w:r w:rsidR="003D5383">
        <w:rPr>
          <w:rFonts w:ascii="Times New Roman" w:hAnsi="Times New Roman" w:cs="Times New Roman"/>
          <w:sz w:val="24"/>
          <w:szCs w:val="24"/>
        </w:rPr>
        <w:t>.  Note that 9</w:t>
      </w:r>
      <w:r>
        <w:rPr>
          <w:rFonts w:ascii="Times New Roman" w:hAnsi="Times New Roman" w:cs="Times New Roman"/>
          <w:sz w:val="24"/>
          <w:szCs w:val="24"/>
        </w:rPr>
        <w:t>0% of our time will be spe</w:t>
      </w:r>
      <w:r w:rsidR="005D2D74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 xml:space="preserve"> on the usual tasks of AP/BP’s, </w:t>
      </w:r>
      <w:r w:rsidR="00B720B7">
        <w:rPr>
          <w:rFonts w:ascii="Times New Roman" w:hAnsi="Times New Roman" w:cs="Times New Roman"/>
          <w:sz w:val="24"/>
          <w:szCs w:val="24"/>
        </w:rPr>
        <w:t>initiati</w:t>
      </w:r>
      <w:r>
        <w:rPr>
          <w:rFonts w:ascii="Times New Roman" w:hAnsi="Times New Roman" w:cs="Times New Roman"/>
          <w:sz w:val="24"/>
          <w:szCs w:val="24"/>
        </w:rPr>
        <w:t>ves and plans, faculty prioritization</w:t>
      </w:r>
      <w:r w:rsidR="003D53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like.  We want to select a few th</w:t>
      </w:r>
      <w:r w:rsidR="003D5383">
        <w:rPr>
          <w:rFonts w:ascii="Times New Roman" w:hAnsi="Times New Roman" w:cs="Times New Roman"/>
          <w:sz w:val="24"/>
          <w:szCs w:val="24"/>
        </w:rPr>
        <w:t>ings on which to focus for the 1</w:t>
      </w:r>
      <w:r>
        <w:rPr>
          <w:rFonts w:ascii="Times New Roman" w:hAnsi="Times New Roman" w:cs="Times New Roman"/>
          <w:sz w:val="24"/>
          <w:szCs w:val="24"/>
        </w:rPr>
        <w:t xml:space="preserve">0% of our time that we hope we can dedicate to </w:t>
      </w:r>
      <w:r w:rsidR="00C23259">
        <w:rPr>
          <w:rFonts w:ascii="Times New Roman" w:hAnsi="Times New Roman" w:cs="Times New Roman"/>
          <w:sz w:val="24"/>
          <w:szCs w:val="24"/>
        </w:rPr>
        <w:t>other tasks of our choosing.</w:t>
      </w:r>
    </w:p>
    <w:p w14:paraId="19555DA9" w14:textId="706C63D4" w:rsidR="004F16AF" w:rsidRDefault="004F16AF" w:rsidP="002B3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</w:t>
      </w:r>
      <w:r w:rsidR="00A97061">
        <w:rPr>
          <w:rFonts w:ascii="Times New Roman" w:hAnsi="Times New Roman" w:cs="Times New Roman"/>
          <w:sz w:val="24"/>
          <w:szCs w:val="24"/>
        </w:rPr>
        <w:t>results from voting are below</w:t>
      </w:r>
      <w:r w:rsidR="00D32369">
        <w:rPr>
          <w:rFonts w:ascii="Times New Roman" w:hAnsi="Times New Roman" w:cs="Times New Roman"/>
          <w:sz w:val="24"/>
          <w:szCs w:val="24"/>
        </w:rPr>
        <w:t xml:space="preserve">, listed in </w:t>
      </w:r>
      <w:r w:rsidR="006A741F">
        <w:rPr>
          <w:rFonts w:ascii="Times New Roman" w:hAnsi="Times New Roman" w:cs="Times New Roman"/>
          <w:sz w:val="24"/>
          <w:szCs w:val="24"/>
        </w:rPr>
        <w:t xml:space="preserve">rank </w:t>
      </w:r>
      <w:r w:rsidR="00D32369">
        <w:rPr>
          <w:rFonts w:ascii="Times New Roman" w:hAnsi="Times New Roman" w:cs="Times New Roman"/>
          <w:sz w:val="24"/>
          <w:szCs w:val="24"/>
        </w:rPr>
        <w:t xml:space="preserve">order from </w:t>
      </w:r>
      <w:r w:rsidR="006A741F">
        <w:rPr>
          <w:rFonts w:ascii="Times New Roman" w:hAnsi="Times New Roman" w:cs="Times New Roman"/>
          <w:sz w:val="24"/>
          <w:szCs w:val="24"/>
        </w:rPr>
        <w:t xml:space="preserve">highest priority to lowest priority.  </w:t>
      </w:r>
      <w:r w:rsidR="00A97061">
        <w:rPr>
          <w:rFonts w:ascii="Times New Roman" w:hAnsi="Times New Roman" w:cs="Times New Roman"/>
          <w:sz w:val="24"/>
          <w:szCs w:val="24"/>
        </w:rPr>
        <w:t xml:space="preserve"> </w:t>
      </w:r>
      <w:r w:rsidR="006A741F">
        <w:rPr>
          <w:rFonts w:ascii="Times New Roman" w:hAnsi="Times New Roman" w:cs="Times New Roman"/>
          <w:sz w:val="24"/>
          <w:szCs w:val="24"/>
        </w:rPr>
        <w:t xml:space="preserve">The number in brackets is the </w:t>
      </w:r>
      <w:r w:rsidR="00CB0E0E">
        <w:rPr>
          <w:rFonts w:ascii="Times New Roman" w:hAnsi="Times New Roman" w:cs="Times New Roman"/>
          <w:sz w:val="24"/>
          <w:szCs w:val="24"/>
        </w:rPr>
        <w:t>sum of the ranks for that goal</w:t>
      </w:r>
      <w:r w:rsidR="006A741F">
        <w:rPr>
          <w:rFonts w:ascii="Times New Roman" w:hAnsi="Times New Roman" w:cs="Times New Roman"/>
          <w:sz w:val="24"/>
          <w:szCs w:val="24"/>
        </w:rPr>
        <w:t xml:space="preserve"> and recall the lower the number the higher the rank.</w:t>
      </w:r>
    </w:p>
    <w:p w14:paraId="4B17109B" w14:textId="77777777" w:rsidR="00A06933" w:rsidRDefault="00A06933" w:rsidP="002B33D7">
      <w:pPr>
        <w:rPr>
          <w:rFonts w:ascii="Times New Roman" w:hAnsi="Times New Roman" w:cs="Times New Roman"/>
          <w:sz w:val="24"/>
          <w:szCs w:val="24"/>
        </w:rPr>
      </w:pPr>
    </w:p>
    <w:p w14:paraId="56D8D150" w14:textId="4AFFA18F" w:rsidR="00B5751B" w:rsidRDefault="00B5751B" w:rsidP="00B5751B">
      <w:pPr>
        <w:pStyle w:val="ListParagraph"/>
        <w:numPr>
          <w:ilvl w:val="0"/>
          <w:numId w:val="19"/>
        </w:numPr>
        <w:spacing w:after="160" w:line="259" w:lineRule="auto"/>
      </w:pPr>
      <w:r>
        <w:t>Create an environment and culture that is infused with social justice &amp; anti-racism in every aspect of the institution, rooted in accountability, and reflected in its Mission, Vision, &amp; Values statements</w:t>
      </w:r>
      <w:r w:rsidR="00530562">
        <w:t xml:space="preserve"> [45]</w:t>
      </w:r>
    </w:p>
    <w:p w14:paraId="4BE5D4F9" w14:textId="4F55C2D8" w:rsidR="00794EB9" w:rsidRPr="00794EB9" w:rsidRDefault="00794EB9" w:rsidP="00794EB9">
      <w:pPr>
        <w:pStyle w:val="ListParagraph"/>
        <w:numPr>
          <w:ilvl w:val="1"/>
          <w:numId w:val="19"/>
        </w:numPr>
        <w:spacing w:after="160" w:line="259" w:lineRule="auto"/>
      </w:pPr>
      <w:r>
        <w:rPr>
          <w:color w:val="2F5496" w:themeColor="accent5" w:themeShade="BF"/>
        </w:rPr>
        <w:t>Unanimous approval of a resolution in support of Black lives matter</w:t>
      </w:r>
    </w:p>
    <w:p w14:paraId="2820C3FE" w14:textId="122521AA" w:rsidR="00794EB9" w:rsidRPr="00B96477" w:rsidRDefault="00B96477" w:rsidP="00794EB9">
      <w:pPr>
        <w:pStyle w:val="ListParagraph"/>
        <w:numPr>
          <w:ilvl w:val="1"/>
          <w:numId w:val="19"/>
        </w:numPr>
        <w:spacing w:after="160" w:line="259" w:lineRule="auto"/>
      </w:pPr>
      <w:r>
        <w:rPr>
          <w:color w:val="2F5496" w:themeColor="accent5" w:themeShade="BF"/>
        </w:rPr>
        <w:t>Development of</w:t>
      </w:r>
      <w:r w:rsidR="0094006A">
        <w:rPr>
          <w:color w:val="2F5496" w:themeColor="accent5" w:themeShade="BF"/>
        </w:rPr>
        <w:t xml:space="preserve"> a land acknowledgement statement</w:t>
      </w:r>
    </w:p>
    <w:p w14:paraId="35893673" w14:textId="39EC6B65" w:rsidR="00B96477" w:rsidRPr="009D7B2C" w:rsidRDefault="00B96477" w:rsidP="00794EB9">
      <w:pPr>
        <w:pStyle w:val="ListParagraph"/>
        <w:numPr>
          <w:ilvl w:val="1"/>
          <w:numId w:val="19"/>
        </w:numPr>
        <w:spacing w:after="160" w:line="259" w:lineRule="auto"/>
      </w:pPr>
      <w:r>
        <w:rPr>
          <w:color w:val="2F5496" w:themeColor="accent5" w:themeShade="BF"/>
        </w:rPr>
        <w:t>Unanimous approval of a resolution in solidarity with the AAPI community</w:t>
      </w:r>
    </w:p>
    <w:p w14:paraId="15CEA2B7" w14:textId="499FD546" w:rsidR="009D7B2C" w:rsidRPr="00E14686" w:rsidRDefault="007B5A2A" w:rsidP="00794EB9">
      <w:pPr>
        <w:pStyle w:val="ListParagraph"/>
        <w:numPr>
          <w:ilvl w:val="1"/>
          <w:numId w:val="19"/>
        </w:numPr>
        <w:spacing w:after="160" w:line="259" w:lineRule="auto"/>
      </w:pPr>
      <w:r>
        <w:rPr>
          <w:color w:val="2F5496" w:themeColor="accent5" w:themeShade="BF"/>
        </w:rPr>
        <w:t>Provided feedback on the u</w:t>
      </w:r>
      <w:r w:rsidR="009D7B2C">
        <w:rPr>
          <w:color w:val="2F5496" w:themeColor="accent5" w:themeShade="BF"/>
        </w:rPr>
        <w:t>pdate of Mission</w:t>
      </w:r>
      <w:r w:rsidR="00131A42">
        <w:rPr>
          <w:color w:val="2F5496" w:themeColor="accent5" w:themeShade="BF"/>
        </w:rPr>
        <w:t xml:space="preserve"> Statement</w:t>
      </w:r>
      <w:r w:rsidR="00262DCA">
        <w:rPr>
          <w:color w:val="2F5496" w:themeColor="accent5" w:themeShade="BF"/>
        </w:rPr>
        <w:t xml:space="preserve"> </w:t>
      </w:r>
      <w:r w:rsidR="00FA26A3">
        <w:rPr>
          <w:color w:val="2F5496" w:themeColor="accent5" w:themeShade="BF"/>
        </w:rPr>
        <w:t>that</w:t>
      </w:r>
      <w:r w:rsidR="00262DCA">
        <w:rPr>
          <w:color w:val="2F5496" w:themeColor="accent5" w:themeShade="BF"/>
        </w:rPr>
        <w:t xml:space="preserve"> reflect</w:t>
      </w:r>
      <w:r w:rsidR="00FA26A3">
        <w:rPr>
          <w:color w:val="2F5496" w:themeColor="accent5" w:themeShade="BF"/>
        </w:rPr>
        <w:t>s</w:t>
      </w:r>
      <w:r w:rsidR="00262DCA">
        <w:rPr>
          <w:color w:val="2F5496" w:themeColor="accent5" w:themeShade="BF"/>
        </w:rPr>
        <w:t xml:space="preserve"> equity and social justice</w:t>
      </w:r>
    </w:p>
    <w:p w14:paraId="10B0C28D" w14:textId="55378EE8" w:rsidR="00E14686" w:rsidRPr="00D429CB" w:rsidRDefault="0001033F" w:rsidP="00794EB9">
      <w:pPr>
        <w:pStyle w:val="ListParagraph"/>
        <w:numPr>
          <w:ilvl w:val="1"/>
          <w:numId w:val="19"/>
        </w:numPr>
        <w:spacing w:after="160" w:line="259" w:lineRule="auto"/>
      </w:pPr>
      <w:r>
        <w:rPr>
          <w:color w:val="2F5496" w:themeColor="accent5" w:themeShade="BF"/>
        </w:rPr>
        <w:t xml:space="preserve">Initiated review of </w:t>
      </w:r>
      <w:r w:rsidR="00E14686">
        <w:rPr>
          <w:color w:val="2F5496" w:themeColor="accent5" w:themeShade="BF"/>
        </w:rPr>
        <w:t>Constitution &amp; By</w:t>
      </w:r>
      <w:r w:rsidR="00F4519F">
        <w:rPr>
          <w:color w:val="2F5496" w:themeColor="accent5" w:themeShade="BF"/>
        </w:rPr>
        <w:t>-L</w:t>
      </w:r>
      <w:r w:rsidR="00E14686">
        <w:rPr>
          <w:color w:val="2F5496" w:themeColor="accent5" w:themeShade="BF"/>
        </w:rPr>
        <w:t>aws with an equity lens</w:t>
      </w:r>
    </w:p>
    <w:p w14:paraId="29B5E463" w14:textId="3AD9D590" w:rsidR="00BA75FD" w:rsidRPr="007E2DB5" w:rsidRDefault="00BA75FD" w:rsidP="00794EB9">
      <w:pPr>
        <w:pStyle w:val="ListParagraph"/>
        <w:numPr>
          <w:ilvl w:val="1"/>
          <w:numId w:val="19"/>
        </w:numPr>
        <w:spacing w:after="160" w:line="259" w:lineRule="auto"/>
      </w:pPr>
      <w:r>
        <w:rPr>
          <w:color w:val="2F5496" w:themeColor="accent5" w:themeShade="BF"/>
        </w:rPr>
        <w:t xml:space="preserve">Standing committees </w:t>
      </w:r>
      <w:r w:rsidR="00723731">
        <w:rPr>
          <w:color w:val="2F5496" w:themeColor="accent5" w:themeShade="BF"/>
        </w:rPr>
        <w:t xml:space="preserve">to </w:t>
      </w:r>
      <w:r>
        <w:rPr>
          <w:color w:val="2F5496" w:themeColor="accent5" w:themeShade="BF"/>
        </w:rPr>
        <w:t xml:space="preserve">revisit charge </w:t>
      </w:r>
      <w:r w:rsidR="00723731">
        <w:rPr>
          <w:color w:val="2F5496" w:themeColor="accent5" w:themeShade="BF"/>
        </w:rPr>
        <w:t xml:space="preserve">and membership </w:t>
      </w:r>
      <w:r>
        <w:rPr>
          <w:color w:val="2F5496" w:themeColor="accent5" w:themeShade="BF"/>
        </w:rPr>
        <w:t xml:space="preserve">with </w:t>
      </w:r>
      <w:r w:rsidR="00723731">
        <w:rPr>
          <w:color w:val="2F5496" w:themeColor="accent5" w:themeShade="BF"/>
        </w:rPr>
        <w:t xml:space="preserve">an </w:t>
      </w:r>
      <w:r>
        <w:rPr>
          <w:color w:val="2F5496" w:themeColor="accent5" w:themeShade="BF"/>
        </w:rPr>
        <w:t>equity lens</w:t>
      </w:r>
    </w:p>
    <w:p w14:paraId="51E2D585" w14:textId="7C9F3888" w:rsidR="007E2DB5" w:rsidRDefault="007E2DB5" w:rsidP="007E2DB5">
      <w:pPr>
        <w:pStyle w:val="ListParagraph"/>
        <w:numPr>
          <w:ilvl w:val="1"/>
          <w:numId w:val="19"/>
        </w:numPr>
        <w:spacing w:after="160" w:line="259" w:lineRule="auto"/>
      </w:pPr>
      <w:r>
        <w:rPr>
          <w:color w:val="2F5496" w:themeColor="accent5" w:themeShade="BF"/>
        </w:rPr>
        <w:t>Classified Prioritization criteria added an equity component as part of Fiscal</w:t>
      </w:r>
    </w:p>
    <w:p w14:paraId="77053FC2" w14:textId="540332FD" w:rsidR="00530562" w:rsidRDefault="00530562" w:rsidP="00530562">
      <w:pPr>
        <w:pStyle w:val="ListParagraph"/>
        <w:numPr>
          <w:ilvl w:val="0"/>
          <w:numId w:val="19"/>
        </w:numPr>
        <w:spacing w:after="160" w:line="259" w:lineRule="auto"/>
      </w:pPr>
      <w:r>
        <w:t>Increased access for students [62]</w:t>
      </w:r>
    </w:p>
    <w:p w14:paraId="6A5C211C" w14:textId="029059B0" w:rsidR="00390DAE" w:rsidRDefault="00390DAE" w:rsidP="00530562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>Increased adoption of Zero Textbook Cost (ZTC) for disciplines for which this is a viable option that preserves academic standards and integrity</w:t>
      </w:r>
    </w:p>
    <w:p w14:paraId="373CD404" w14:textId="29C44A1E" w:rsidR="0094006A" w:rsidRDefault="0094006A" w:rsidP="00530562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 w:rsidRPr="0094006A">
        <w:rPr>
          <w:color w:val="2F5496" w:themeColor="accent5" w:themeShade="BF"/>
        </w:rPr>
        <w:t>Defined “low cost” to be $40? For Low Textbook Cost (LTC) to be designated on the schedule of classes</w:t>
      </w:r>
    </w:p>
    <w:p w14:paraId="74FE0B99" w14:textId="73219831" w:rsidR="00955C02" w:rsidRDefault="00955C02" w:rsidP="00530562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Discussion of uses of </w:t>
      </w:r>
      <w:r w:rsidR="00597B94">
        <w:rPr>
          <w:color w:val="2F5496" w:themeColor="accent5" w:themeShade="BF"/>
        </w:rPr>
        <w:t>CARES</w:t>
      </w:r>
      <w:r>
        <w:rPr>
          <w:color w:val="2F5496" w:themeColor="accent5" w:themeShade="BF"/>
        </w:rPr>
        <w:t>/HEERF</w:t>
      </w:r>
      <w:r w:rsidR="00597B94">
        <w:rPr>
          <w:color w:val="2F5496" w:themeColor="accent5" w:themeShade="BF"/>
        </w:rPr>
        <w:t xml:space="preserve"> funds</w:t>
      </w:r>
      <w:r>
        <w:rPr>
          <w:color w:val="2F5496" w:themeColor="accent5" w:themeShade="BF"/>
        </w:rPr>
        <w:t xml:space="preserve"> (also more formally in Fiscal)</w:t>
      </w:r>
    </w:p>
    <w:p w14:paraId="197ADBAC" w14:textId="1B16777D" w:rsidR="00597B94" w:rsidRDefault="00597B94" w:rsidP="00955C02">
      <w:pPr>
        <w:pStyle w:val="ListParagraph"/>
        <w:numPr>
          <w:ilvl w:val="2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>Advocacy for computers, access points, etc.</w:t>
      </w:r>
    </w:p>
    <w:p w14:paraId="47F2A970" w14:textId="554CA7F4" w:rsidR="00955C02" w:rsidRDefault="00955C02" w:rsidP="00955C02">
      <w:pPr>
        <w:pStyle w:val="ListParagraph"/>
        <w:numPr>
          <w:ilvl w:val="2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>Investing in cleaning, air filters, PPE, etc. for a safe return to campus</w:t>
      </w:r>
    </w:p>
    <w:p w14:paraId="78D428F5" w14:textId="310D80A2" w:rsidR="00955C02" w:rsidRDefault="00955C02" w:rsidP="00955C02">
      <w:pPr>
        <w:pStyle w:val="ListParagraph"/>
        <w:numPr>
          <w:ilvl w:val="2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>Considering long-term investments that benefit students for years to come</w:t>
      </w:r>
    </w:p>
    <w:p w14:paraId="6E0C90A7" w14:textId="0F09DCD0" w:rsidR="007D1749" w:rsidRPr="0094006A" w:rsidRDefault="007D1749" w:rsidP="007D1749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>Dual enrollment presentation and open dialogue reflecting on where we are and how to improve</w:t>
      </w:r>
    </w:p>
    <w:p w14:paraId="28573523" w14:textId="588B8305" w:rsidR="00530562" w:rsidRDefault="00530562" w:rsidP="00530562">
      <w:pPr>
        <w:pStyle w:val="ListParagraph"/>
        <w:numPr>
          <w:ilvl w:val="0"/>
          <w:numId w:val="19"/>
        </w:numPr>
        <w:spacing w:after="160" w:line="259" w:lineRule="auto"/>
      </w:pPr>
      <w:r>
        <w:t>Diversify faculty: hiring and retention [74]</w:t>
      </w:r>
    </w:p>
    <w:p w14:paraId="7B2E3CB7" w14:textId="4475E370" w:rsidR="0094006A" w:rsidRDefault="000A20E4" w:rsidP="0094006A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Active faculty participation in </w:t>
      </w:r>
      <w:r w:rsidR="0094006A" w:rsidRPr="0094006A">
        <w:rPr>
          <w:color w:val="2F5496" w:themeColor="accent5" w:themeShade="BF"/>
        </w:rPr>
        <w:t>Social justice workgroup</w:t>
      </w:r>
      <w:r>
        <w:rPr>
          <w:color w:val="2F5496" w:themeColor="accent5" w:themeShade="BF"/>
        </w:rPr>
        <w:t xml:space="preserve"> Theme on hiring</w:t>
      </w:r>
    </w:p>
    <w:p w14:paraId="6BD5CDD2" w14:textId="289A6B53" w:rsidR="0094006A" w:rsidRDefault="0094006A" w:rsidP="0094006A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>Update of AP 7120-D Full-time</w:t>
      </w:r>
      <w:r w:rsidR="00881030">
        <w:rPr>
          <w:color w:val="2F5496" w:themeColor="accent5" w:themeShade="BF"/>
        </w:rPr>
        <w:t xml:space="preserve"> faculty hiring to </w:t>
      </w:r>
      <w:r w:rsidR="00B813F7">
        <w:rPr>
          <w:color w:val="2F5496" w:themeColor="accent5" w:themeShade="BF"/>
        </w:rPr>
        <w:t>lower barriers</w:t>
      </w:r>
      <w:r w:rsidR="00881030">
        <w:rPr>
          <w:color w:val="2F5496" w:themeColor="accent5" w:themeShade="BF"/>
        </w:rPr>
        <w:t>, enable more diverse committee membership, and provide a more consistent candidate experience</w:t>
      </w:r>
    </w:p>
    <w:p w14:paraId="6FD70D3A" w14:textId="643B816B" w:rsidR="007E779D" w:rsidRDefault="007E779D" w:rsidP="0094006A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>Practice of</w:t>
      </w:r>
      <w:r w:rsidR="005E5817">
        <w:rPr>
          <w:color w:val="2F5496" w:themeColor="accent5" w:themeShade="BF"/>
        </w:rPr>
        <w:t xml:space="preserve"> tenured</w:t>
      </w:r>
      <w:r>
        <w:rPr>
          <w:color w:val="2F5496" w:themeColor="accent5" w:themeShade="BF"/>
        </w:rPr>
        <w:t xml:space="preserve"> preference in hiring committees</w:t>
      </w:r>
      <w:r w:rsidR="00881030">
        <w:rPr>
          <w:color w:val="2F5496" w:themeColor="accent5" w:themeShade="BF"/>
        </w:rPr>
        <w:t xml:space="preserve"> revisited</w:t>
      </w:r>
    </w:p>
    <w:p w14:paraId="59E0DC55" w14:textId="492BE4D8" w:rsidR="000A06D6" w:rsidRPr="0094006A" w:rsidRDefault="000A06D6" w:rsidP="0094006A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lastRenderedPageBreak/>
        <w:t>Reach</w:t>
      </w:r>
      <w:r w:rsidR="007940BB">
        <w:rPr>
          <w:color w:val="2F5496" w:themeColor="accent5" w:themeShade="BF"/>
        </w:rPr>
        <w:t>ed</w:t>
      </w:r>
      <w:r>
        <w:rPr>
          <w:color w:val="2F5496" w:themeColor="accent5" w:themeShade="BF"/>
        </w:rPr>
        <w:t xml:space="preserve"> out to new faculty and involve them in discussion of tenure review committee composition</w:t>
      </w:r>
    </w:p>
    <w:p w14:paraId="51B2B184" w14:textId="130D077A" w:rsidR="00530562" w:rsidRDefault="00530562" w:rsidP="00530562">
      <w:pPr>
        <w:pStyle w:val="ListParagraph"/>
        <w:numPr>
          <w:ilvl w:val="0"/>
          <w:numId w:val="19"/>
        </w:numPr>
        <w:spacing w:after="160" w:line="259" w:lineRule="auto"/>
      </w:pPr>
      <w:r>
        <w:t>Finalize normal (compressed) calendar discussions within the VCCCD [78]</w:t>
      </w:r>
    </w:p>
    <w:p w14:paraId="6E461AC7" w14:textId="1C30FAF3" w:rsidR="006B578B" w:rsidRDefault="00850161" w:rsidP="003F4263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Districtwide committee with significant faculty input explored </w:t>
      </w:r>
      <w:r w:rsidR="006B578B">
        <w:rPr>
          <w:color w:val="2F5496" w:themeColor="accent5" w:themeShade="BF"/>
        </w:rPr>
        <w:t xml:space="preserve">pressure points for </w:t>
      </w:r>
      <w:r>
        <w:rPr>
          <w:color w:val="2F5496" w:themeColor="accent5" w:themeShade="BF"/>
        </w:rPr>
        <w:t xml:space="preserve">and concerns of </w:t>
      </w:r>
      <w:r w:rsidR="006B578B">
        <w:rPr>
          <w:color w:val="2F5496" w:themeColor="accent5" w:themeShade="BF"/>
        </w:rPr>
        <w:t xml:space="preserve">adoption of </w:t>
      </w:r>
      <w:r w:rsidR="004E635E">
        <w:rPr>
          <w:color w:val="2F5496" w:themeColor="accent5" w:themeShade="BF"/>
        </w:rPr>
        <w:t xml:space="preserve">a </w:t>
      </w:r>
      <w:r w:rsidR="006B578B">
        <w:rPr>
          <w:color w:val="2F5496" w:themeColor="accent5" w:themeShade="BF"/>
        </w:rPr>
        <w:t>16-week semester calendar</w:t>
      </w:r>
    </w:p>
    <w:p w14:paraId="75E49627" w14:textId="769F92D8" w:rsidR="003F4263" w:rsidRDefault="006B578B" w:rsidP="003F4263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>Collecting data on</w:t>
      </w:r>
      <w:r w:rsidR="00BE0E24">
        <w:rPr>
          <w:color w:val="2F5496" w:themeColor="accent5" w:themeShade="BF"/>
        </w:rPr>
        <w:t xml:space="preserve"> stakeholder interest by end of academic year</w:t>
      </w:r>
      <w:r>
        <w:rPr>
          <w:color w:val="2F5496" w:themeColor="accent5" w:themeShade="BF"/>
        </w:rPr>
        <w:t xml:space="preserve"> via a districtwide survey and formal votes from the Associated Students, Classified Senates, and Academic Senates at all three colleges</w:t>
      </w:r>
    </w:p>
    <w:p w14:paraId="62D14EAB" w14:textId="025B6E04" w:rsidR="00175CE5" w:rsidRPr="003F4263" w:rsidRDefault="00BA0380" w:rsidP="003F4263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Will </w:t>
      </w:r>
      <w:r w:rsidR="00175CE5">
        <w:rPr>
          <w:color w:val="2F5496" w:themeColor="accent5" w:themeShade="BF"/>
        </w:rPr>
        <w:t xml:space="preserve">determine </w:t>
      </w:r>
      <w:r>
        <w:rPr>
          <w:color w:val="2F5496" w:themeColor="accent5" w:themeShade="BF"/>
        </w:rPr>
        <w:t xml:space="preserve">level of </w:t>
      </w:r>
      <w:r w:rsidR="00175CE5">
        <w:rPr>
          <w:color w:val="2F5496" w:themeColor="accent5" w:themeShade="BF"/>
        </w:rPr>
        <w:t xml:space="preserve">stakeholder </w:t>
      </w:r>
      <w:r w:rsidR="0072095B">
        <w:rPr>
          <w:color w:val="2F5496" w:themeColor="accent5" w:themeShade="BF"/>
        </w:rPr>
        <w:t>support</w:t>
      </w:r>
      <w:r w:rsidR="00175CE5">
        <w:rPr>
          <w:color w:val="2F5496" w:themeColor="accent5" w:themeShade="BF"/>
        </w:rPr>
        <w:t xml:space="preserve"> by the beginning of summer</w:t>
      </w:r>
    </w:p>
    <w:p w14:paraId="260BF207" w14:textId="761DD672" w:rsidR="00B5751B" w:rsidRDefault="00B5751B" w:rsidP="00B5751B">
      <w:pPr>
        <w:pStyle w:val="ListParagraph"/>
        <w:numPr>
          <w:ilvl w:val="0"/>
          <w:numId w:val="19"/>
        </w:numPr>
        <w:spacing w:after="160" w:line="259" w:lineRule="auto"/>
      </w:pPr>
      <w:r>
        <w:t>Ethnic studies requirement for all degrees</w:t>
      </w:r>
      <w:r w:rsidR="00530562">
        <w:t xml:space="preserve"> [86]</w:t>
      </w:r>
    </w:p>
    <w:p w14:paraId="71B8D842" w14:textId="50272265" w:rsidR="003F4263" w:rsidRPr="003F4263" w:rsidRDefault="003F4263" w:rsidP="003F4263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 w:rsidRPr="003F4263">
        <w:rPr>
          <w:color w:val="2F5496" w:themeColor="accent5" w:themeShade="BF"/>
        </w:rPr>
        <w:t>Identified an Ethnic Studies coordinator to develop our Ethnic Studies program</w:t>
      </w:r>
    </w:p>
    <w:p w14:paraId="29B44933" w14:textId="23C118E0" w:rsidR="00564D11" w:rsidRDefault="00564D11" w:rsidP="003F4263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Draft Title 5 language for an Ethnic Studies graduation requirement </w:t>
      </w:r>
      <w:r w:rsidR="00DB7D9E">
        <w:rPr>
          <w:color w:val="2F5496" w:themeColor="accent5" w:themeShade="BF"/>
        </w:rPr>
        <w:t>prompted by statewide resolutions</w:t>
      </w:r>
    </w:p>
    <w:p w14:paraId="41E407F1" w14:textId="53F669A5" w:rsidR="006C2057" w:rsidRPr="006C2057" w:rsidRDefault="006C2057" w:rsidP="006C2057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 w:rsidRPr="003F4263">
        <w:rPr>
          <w:color w:val="2F5496" w:themeColor="accent5" w:themeShade="BF"/>
        </w:rPr>
        <w:t>Ethnic Studies advisory group?</w:t>
      </w:r>
      <w:r>
        <w:rPr>
          <w:color w:val="2F5496" w:themeColor="accent5" w:themeShade="BF"/>
        </w:rPr>
        <w:t xml:space="preserve">  (what is status of this?)</w:t>
      </w:r>
    </w:p>
    <w:p w14:paraId="564EEFF2" w14:textId="41E23C9C" w:rsidR="00530562" w:rsidRPr="00A24184" w:rsidRDefault="00530562" w:rsidP="00530562">
      <w:pPr>
        <w:pStyle w:val="ListParagraph"/>
        <w:numPr>
          <w:ilvl w:val="0"/>
          <w:numId w:val="19"/>
        </w:numPr>
        <w:spacing w:after="160" w:line="259" w:lineRule="auto"/>
      </w:pPr>
      <w:r w:rsidRPr="00A24184">
        <w:t>Continue building and practicing integrated processes for planning</w:t>
      </w:r>
      <w:r>
        <w:t xml:space="preserve"> and budgets focused on increased transparency and input from all constituents [109]</w:t>
      </w:r>
    </w:p>
    <w:p w14:paraId="6B76E675" w14:textId="2C5759BE" w:rsidR="003F4263" w:rsidRDefault="003F4263" w:rsidP="00530562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 w:rsidRPr="003F4263">
        <w:rPr>
          <w:color w:val="2F5496" w:themeColor="accent5" w:themeShade="BF"/>
        </w:rPr>
        <w:t>Joint Fiscal/</w:t>
      </w:r>
      <w:proofErr w:type="spellStart"/>
      <w:r w:rsidRPr="003F4263">
        <w:rPr>
          <w:color w:val="2F5496" w:themeColor="accent5" w:themeShade="BF"/>
        </w:rPr>
        <w:t>EdCAP</w:t>
      </w:r>
      <w:proofErr w:type="spellEnd"/>
      <w:r w:rsidRPr="003F4263">
        <w:rPr>
          <w:color w:val="2F5496" w:themeColor="accent5" w:themeShade="BF"/>
        </w:rPr>
        <w:t xml:space="preserve"> meetin</w:t>
      </w:r>
      <w:r w:rsidR="00393066">
        <w:rPr>
          <w:color w:val="2F5496" w:themeColor="accent5" w:themeShade="BF"/>
        </w:rPr>
        <w:t xml:space="preserve">g to more closely link </w:t>
      </w:r>
      <w:r w:rsidR="004F4C19">
        <w:rPr>
          <w:color w:val="2F5496" w:themeColor="accent5" w:themeShade="BF"/>
        </w:rPr>
        <w:t>planning and budgeting, performing a gap analysis using the Annual Work Plan</w:t>
      </w:r>
    </w:p>
    <w:p w14:paraId="2150A3E6" w14:textId="65FE1AA1" w:rsidR="00DC005A" w:rsidRPr="003F4263" w:rsidRDefault="00DC005A" w:rsidP="00530562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Proposed new process for one-time fund budget discussions to be brought to Fiscal Planning Committee </w:t>
      </w:r>
    </w:p>
    <w:p w14:paraId="1A6442AC" w14:textId="543BB379" w:rsidR="00393066" w:rsidRDefault="00393066" w:rsidP="001A20DC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>Completion of first round of combined Classified, Management, and Faculty 25-year service awards (“brick”)</w:t>
      </w:r>
    </w:p>
    <w:p w14:paraId="11611D53" w14:textId="5318ACDD" w:rsidR="00242ED0" w:rsidRDefault="00242ED0" w:rsidP="001A20DC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Increased classified presence and some voting student positions in Standing Committees </w:t>
      </w:r>
    </w:p>
    <w:p w14:paraId="74AC7685" w14:textId="434CD21A" w:rsidR="001A20DC" w:rsidRPr="00242ED0" w:rsidRDefault="001A20DC" w:rsidP="001A20DC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>Reviewed and provided feedback on the VCCCD Strategic Plan</w:t>
      </w:r>
      <w:r w:rsidR="0085557B">
        <w:rPr>
          <w:color w:val="2F5496" w:themeColor="accent5" w:themeShade="BF"/>
        </w:rPr>
        <w:t xml:space="preserve"> and VCCCD Participatory Governance Handbook</w:t>
      </w:r>
    </w:p>
    <w:p w14:paraId="5E598FAC" w14:textId="53AC77C5" w:rsidR="00530562" w:rsidRDefault="00530562" w:rsidP="00530562">
      <w:pPr>
        <w:pStyle w:val="ListParagraph"/>
        <w:numPr>
          <w:ilvl w:val="0"/>
          <w:numId w:val="19"/>
        </w:numPr>
        <w:spacing w:after="160" w:line="259" w:lineRule="auto"/>
      </w:pPr>
      <w:r>
        <w:t>Continued f</w:t>
      </w:r>
      <w:r w:rsidRPr="0098501F">
        <w:t xml:space="preserve">aculty </w:t>
      </w:r>
      <w:r>
        <w:t>leadership in the implementation of Guided Pathways, including success teams [111]</w:t>
      </w:r>
    </w:p>
    <w:p w14:paraId="1A7B90F8" w14:textId="5EA40E79" w:rsidR="00BE7B52" w:rsidRDefault="001F3797" w:rsidP="00BE7B52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Faculty Guided Pathways Coordinator, </w:t>
      </w:r>
      <w:r w:rsidR="00BE7B52" w:rsidRPr="00BE7B52">
        <w:rPr>
          <w:color w:val="2F5496" w:themeColor="accent5" w:themeShade="BF"/>
        </w:rPr>
        <w:t>Traci Allen</w:t>
      </w:r>
    </w:p>
    <w:p w14:paraId="297279BF" w14:textId="6FD8DA15" w:rsidR="00BE7B52" w:rsidRDefault="00BE7B52" w:rsidP="00BE7B52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Guided Pathways Scale of Adoption Assessment </w:t>
      </w:r>
      <w:r w:rsidR="00C44894">
        <w:rPr>
          <w:color w:val="2F5496" w:themeColor="accent5" w:themeShade="BF"/>
        </w:rPr>
        <w:t xml:space="preserve">toured </w:t>
      </w:r>
      <w:r>
        <w:rPr>
          <w:color w:val="2F5496" w:themeColor="accent5" w:themeShade="BF"/>
        </w:rPr>
        <w:t>governance groups</w:t>
      </w:r>
      <w:r w:rsidR="00C44894">
        <w:rPr>
          <w:color w:val="2F5496" w:themeColor="accent5" w:themeShade="BF"/>
        </w:rPr>
        <w:t xml:space="preserve"> and was submitted</w:t>
      </w:r>
      <w:r w:rsidR="000A245D">
        <w:rPr>
          <w:color w:val="2F5496" w:themeColor="accent5" w:themeShade="BF"/>
        </w:rPr>
        <w:t xml:space="preserve"> after receiving Senate approval</w:t>
      </w:r>
    </w:p>
    <w:p w14:paraId="2A938D96" w14:textId="716529E4" w:rsidR="00EA6106" w:rsidRDefault="00EA6106" w:rsidP="00BE7B52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>Counseling faculty and instructional faculty leads in each success team</w:t>
      </w:r>
    </w:p>
    <w:p w14:paraId="51051640" w14:textId="793C3BC0" w:rsidR="003767A9" w:rsidRPr="00BE7B52" w:rsidRDefault="003767A9" w:rsidP="00BE7B52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>Regular Guided Pathways meetings at both the college and district levels</w:t>
      </w:r>
    </w:p>
    <w:p w14:paraId="604A4F26" w14:textId="57EE123B" w:rsidR="00F03A8A" w:rsidRDefault="00F03A8A" w:rsidP="00F03A8A">
      <w:pPr>
        <w:pStyle w:val="ListParagraph"/>
        <w:numPr>
          <w:ilvl w:val="0"/>
          <w:numId w:val="19"/>
        </w:numPr>
        <w:spacing w:after="160" w:line="259" w:lineRule="auto"/>
      </w:pPr>
      <w:r w:rsidRPr="0098501F">
        <w:t>Strengthen support of adjunct faculty within the Academic Senate’s academic and professional purview</w:t>
      </w:r>
      <w:r>
        <w:t xml:space="preserve"> [115]</w:t>
      </w:r>
    </w:p>
    <w:p w14:paraId="24831060" w14:textId="73F9EA8B" w:rsidR="00F57BB7" w:rsidRDefault="00F57BB7" w:rsidP="00A05583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Adjunct faculty </w:t>
      </w:r>
      <w:r w:rsidR="00FD3BFB">
        <w:rPr>
          <w:color w:val="2F5496" w:themeColor="accent5" w:themeShade="BF"/>
        </w:rPr>
        <w:t>senator position ensures the adjunct voice on all academic and professional matters</w:t>
      </w:r>
    </w:p>
    <w:p w14:paraId="72D4D871" w14:textId="77777777" w:rsidR="00642219" w:rsidRDefault="00642219" w:rsidP="00A05583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>Other examples?</w:t>
      </w:r>
    </w:p>
    <w:p w14:paraId="3B5C5ED7" w14:textId="36A8C724" w:rsidR="00B5751B" w:rsidRDefault="00B5751B" w:rsidP="00B5751B">
      <w:pPr>
        <w:pStyle w:val="ListParagraph"/>
        <w:numPr>
          <w:ilvl w:val="0"/>
          <w:numId w:val="19"/>
        </w:numPr>
        <w:spacing w:after="160" w:line="259" w:lineRule="auto"/>
      </w:pPr>
      <w:r>
        <w:t xml:space="preserve">Utilizing the arts as a vehicle to facilitate college goals such as open, safe spaces, dialog, social justice and equity, student access, and student success </w:t>
      </w:r>
      <w:r w:rsidR="00F03A8A">
        <w:t>[116]</w:t>
      </w:r>
    </w:p>
    <w:p w14:paraId="6395CCC5" w14:textId="77777777" w:rsidR="0059261A" w:rsidRDefault="0059261A" w:rsidP="009C4771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>Examples?</w:t>
      </w:r>
    </w:p>
    <w:p w14:paraId="24A3472D" w14:textId="63ED43A6" w:rsidR="00F03A8A" w:rsidRDefault="00F03A8A" w:rsidP="00F03A8A">
      <w:pPr>
        <w:pStyle w:val="ListParagraph"/>
        <w:numPr>
          <w:ilvl w:val="0"/>
          <w:numId w:val="19"/>
        </w:numPr>
        <w:spacing w:after="160" w:line="259" w:lineRule="auto"/>
      </w:pPr>
      <w:r w:rsidRPr="00C36A71">
        <w:t xml:space="preserve">Increase access </w:t>
      </w:r>
      <w:r>
        <w:t xml:space="preserve">to </w:t>
      </w:r>
      <w:r w:rsidRPr="00C36A71">
        <w:t xml:space="preserve">and be more welcoming </w:t>
      </w:r>
      <w:r>
        <w:t>to</w:t>
      </w:r>
      <w:r w:rsidRPr="00C36A71">
        <w:t xml:space="preserve"> faculty </w:t>
      </w:r>
      <w:r>
        <w:t>at</w:t>
      </w:r>
      <w:r w:rsidRPr="00C36A71">
        <w:t xml:space="preserve"> Academic Senate</w:t>
      </w:r>
      <w:r>
        <w:t xml:space="preserve"> and Standing Committees [139]</w:t>
      </w:r>
    </w:p>
    <w:p w14:paraId="413A5B5D" w14:textId="36635EFB" w:rsidR="00B571F2" w:rsidRDefault="00B571F2" w:rsidP="002B64AF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lastRenderedPageBreak/>
        <w:t>FLEX training including an overview of participatory governance, Brown Act, and the role of senate representatives</w:t>
      </w:r>
    </w:p>
    <w:p w14:paraId="1D3F99E1" w14:textId="5B611E80" w:rsidR="00E03F5B" w:rsidRDefault="00E03F5B" w:rsidP="002B64AF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>Int</w:t>
      </w:r>
      <w:r w:rsidR="00E230A9">
        <w:rPr>
          <w:color w:val="2F5496" w:themeColor="accent5" w:themeShade="BF"/>
        </w:rPr>
        <w:t>roduced ourselves during training and when welcoming new senators</w:t>
      </w:r>
    </w:p>
    <w:p w14:paraId="2049126B" w14:textId="0135FD6F" w:rsidR="002B64AF" w:rsidRDefault="001653D0" w:rsidP="002B64AF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Made concerted effort to explain technical words and acronyms </w:t>
      </w:r>
      <w:r w:rsidR="0023760E">
        <w:rPr>
          <w:color w:val="2F5496" w:themeColor="accent5" w:themeShade="BF"/>
        </w:rPr>
        <w:t>every meeting</w:t>
      </w:r>
    </w:p>
    <w:p w14:paraId="0F48415A" w14:textId="4F8B7E0B" w:rsidR="00AD0C9B" w:rsidRPr="0061255A" w:rsidRDefault="00AD0C9B" w:rsidP="002B64AF">
      <w:pPr>
        <w:pStyle w:val="ListParagraph"/>
        <w:numPr>
          <w:ilvl w:val="1"/>
          <w:numId w:val="19"/>
        </w:numPr>
        <w:spacing w:after="160" w:line="259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>Online format created additional access a</w:t>
      </w:r>
      <w:r w:rsidR="00EF266D">
        <w:rPr>
          <w:color w:val="2F5496" w:themeColor="accent5" w:themeShade="BF"/>
        </w:rPr>
        <w:t>n</w:t>
      </w:r>
      <w:r>
        <w:rPr>
          <w:color w:val="2F5496" w:themeColor="accent5" w:themeShade="BF"/>
        </w:rPr>
        <w:t>d attendance at meeting</w:t>
      </w:r>
    </w:p>
    <w:p w14:paraId="3976795B" w14:textId="77777777" w:rsidR="005104DC" w:rsidRPr="005F69B8" w:rsidRDefault="005104DC" w:rsidP="00B5751B"/>
    <w:sectPr w:rsidR="005104DC" w:rsidRPr="005F6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C9A0" w14:textId="77777777" w:rsidR="001364CC" w:rsidRDefault="001364CC" w:rsidP="00D1721A">
      <w:pPr>
        <w:spacing w:after="0" w:line="240" w:lineRule="auto"/>
      </w:pPr>
      <w:r>
        <w:separator/>
      </w:r>
    </w:p>
  </w:endnote>
  <w:endnote w:type="continuationSeparator" w:id="0">
    <w:p w14:paraId="322F357F" w14:textId="77777777" w:rsidR="001364CC" w:rsidRDefault="001364CC" w:rsidP="00D1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48AD" w14:textId="77777777" w:rsidR="00D1721A" w:rsidRDefault="00D17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D52F" w14:textId="77777777" w:rsidR="00D1721A" w:rsidRDefault="00D172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BCC4" w14:textId="77777777" w:rsidR="00D1721A" w:rsidRDefault="00D17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1A1E" w14:textId="77777777" w:rsidR="001364CC" w:rsidRDefault="001364CC" w:rsidP="00D1721A">
      <w:pPr>
        <w:spacing w:after="0" w:line="240" w:lineRule="auto"/>
      </w:pPr>
      <w:r>
        <w:separator/>
      </w:r>
    </w:p>
  </w:footnote>
  <w:footnote w:type="continuationSeparator" w:id="0">
    <w:p w14:paraId="50761029" w14:textId="77777777" w:rsidR="001364CC" w:rsidRDefault="001364CC" w:rsidP="00D1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7789" w14:textId="77777777" w:rsidR="00D1721A" w:rsidRDefault="00D17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484916"/>
      <w:docPartObj>
        <w:docPartGallery w:val="Watermarks"/>
        <w:docPartUnique/>
      </w:docPartObj>
    </w:sdtPr>
    <w:sdtEndPr/>
    <w:sdtContent>
      <w:p w14:paraId="7E4860FC" w14:textId="489C82B2" w:rsidR="00D1721A" w:rsidRDefault="001364CC">
        <w:pPr>
          <w:pStyle w:val="Header"/>
        </w:pPr>
        <w:r>
          <w:rPr>
            <w:noProof/>
          </w:rPr>
          <w:pict w14:anchorId="1C8E87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9557861" o:spid="_x0000_s2049" type="#_x0000_t136" style="position:absolute;margin-left:0;margin-top:0;width:439.9pt;height:219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7FBF" w14:textId="77777777" w:rsidR="00D1721A" w:rsidRDefault="00D17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1F2"/>
    <w:multiLevelType w:val="hybridMultilevel"/>
    <w:tmpl w:val="41384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0CE9"/>
    <w:multiLevelType w:val="hybridMultilevel"/>
    <w:tmpl w:val="0ADCF0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25B4F"/>
    <w:multiLevelType w:val="hybridMultilevel"/>
    <w:tmpl w:val="7DFA4998"/>
    <w:lvl w:ilvl="0" w:tplc="93F47A4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2695C"/>
    <w:multiLevelType w:val="hybridMultilevel"/>
    <w:tmpl w:val="84366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31389"/>
    <w:multiLevelType w:val="hybridMultilevel"/>
    <w:tmpl w:val="3474C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E776F"/>
    <w:multiLevelType w:val="multilevel"/>
    <w:tmpl w:val="55B68EC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8A3B01"/>
    <w:multiLevelType w:val="hybridMultilevel"/>
    <w:tmpl w:val="B1523BC2"/>
    <w:lvl w:ilvl="0" w:tplc="C9C64F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1A84"/>
    <w:multiLevelType w:val="hybridMultilevel"/>
    <w:tmpl w:val="E7E849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A351D"/>
    <w:multiLevelType w:val="hybridMultilevel"/>
    <w:tmpl w:val="8C7A96FE"/>
    <w:lvl w:ilvl="0" w:tplc="9CD2B8C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6EE4"/>
    <w:multiLevelType w:val="hybridMultilevel"/>
    <w:tmpl w:val="D3AA97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C36C8"/>
    <w:multiLevelType w:val="hybridMultilevel"/>
    <w:tmpl w:val="AAB698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5520F"/>
    <w:multiLevelType w:val="multilevel"/>
    <w:tmpl w:val="55B68EC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E55277B"/>
    <w:multiLevelType w:val="hybridMultilevel"/>
    <w:tmpl w:val="B63CAF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2F740A"/>
    <w:multiLevelType w:val="hybridMultilevel"/>
    <w:tmpl w:val="C77EA382"/>
    <w:lvl w:ilvl="0" w:tplc="DF50A0A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83515"/>
    <w:multiLevelType w:val="multilevel"/>
    <w:tmpl w:val="C5061D6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9768C8"/>
    <w:multiLevelType w:val="hybridMultilevel"/>
    <w:tmpl w:val="21A634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3F65"/>
    <w:multiLevelType w:val="hybridMultilevel"/>
    <w:tmpl w:val="80EC8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7965FA"/>
    <w:multiLevelType w:val="hybridMultilevel"/>
    <w:tmpl w:val="FC8084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721EA"/>
    <w:multiLevelType w:val="hybridMultilevel"/>
    <w:tmpl w:val="82E2A6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7"/>
  </w:num>
  <w:num w:numId="5">
    <w:abstractNumId w:val="9"/>
  </w:num>
  <w:num w:numId="6">
    <w:abstractNumId w:val="18"/>
  </w:num>
  <w:num w:numId="7">
    <w:abstractNumId w:val="7"/>
  </w:num>
  <w:num w:numId="8">
    <w:abstractNumId w:val="15"/>
  </w:num>
  <w:num w:numId="9">
    <w:abstractNumId w:val="11"/>
  </w:num>
  <w:num w:numId="10">
    <w:abstractNumId w:val="1"/>
  </w:num>
  <w:num w:numId="11">
    <w:abstractNumId w:val="14"/>
  </w:num>
  <w:num w:numId="12">
    <w:abstractNumId w:val="16"/>
  </w:num>
  <w:num w:numId="13">
    <w:abstractNumId w:val="0"/>
  </w:num>
  <w:num w:numId="14">
    <w:abstractNumId w:val="10"/>
  </w:num>
  <w:num w:numId="15">
    <w:abstractNumId w:val="8"/>
  </w:num>
  <w:num w:numId="16">
    <w:abstractNumId w:val="2"/>
  </w:num>
  <w:num w:numId="17">
    <w:abstractNumId w:val="6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D7"/>
    <w:rsid w:val="0001033F"/>
    <w:rsid w:val="00042F6D"/>
    <w:rsid w:val="000A06D6"/>
    <w:rsid w:val="000A20E4"/>
    <w:rsid w:val="000A245D"/>
    <w:rsid w:val="000C4467"/>
    <w:rsid w:val="000D673C"/>
    <w:rsid w:val="00126D88"/>
    <w:rsid w:val="00131A42"/>
    <w:rsid w:val="001364CC"/>
    <w:rsid w:val="00155ECE"/>
    <w:rsid w:val="001653D0"/>
    <w:rsid w:val="00174BA6"/>
    <w:rsid w:val="00175CE5"/>
    <w:rsid w:val="001964BA"/>
    <w:rsid w:val="001A20DC"/>
    <w:rsid w:val="001F3797"/>
    <w:rsid w:val="00202529"/>
    <w:rsid w:val="00204F1A"/>
    <w:rsid w:val="00234D6D"/>
    <w:rsid w:val="0023760E"/>
    <w:rsid w:val="00242ED0"/>
    <w:rsid w:val="00262DCA"/>
    <w:rsid w:val="00271AE8"/>
    <w:rsid w:val="002945ED"/>
    <w:rsid w:val="002A1D36"/>
    <w:rsid w:val="002B33D7"/>
    <w:rsid w:val="002B64AF"/>
    <w:rsid w:val="002D1B7C"/>
    <w:rsid w:val="002E757F"/>
    <w:rsid w:val="003078A8"/>
    <w:rsid w:val="003455E7"/>
    <w:rsid w:val="00353373"/>
    <w:rsid w:val="00357BC1"/>
    <w:rsid w:val="003767A9"/>
    <w:rsid w:val="00390DAE"/>
    <w:rsid w:val="00393066"/>
    <w:rsid w:val="003A69E4"/>
    <w:rsid w:val="003A75B9"/>
    <w:rsid w:val="003D5383"/>
    <w:rsid w:val="003F4263"/>
    <w:rsid w:val="004042AF"/>
    <w:rsid w:val="00477B53"/>
    <w:rsid w:val="004B1555"/>
    <w:rsid w:val="004C7000"/>
    <w:rsid w:val="004D7BF7"/>
    <w:rsid w:val="004E3E44"/>
    <w:rsid w:val="004E635E"/>
    <w:rsid w:val="004F16AF"/>
    <w:rsid w:val="004F4C19"/>
    <w:rsid w:val="005104DC"/>
    <w:rsid w:val="00530562"/>
    <w:rsid w:val="0053374E"/>
    <w:rsid w:val="0055055D"/>
    <w:rsid w:val="00564D11"/>
    <w:rsid w:val="0059261A"/>
    <w:rsid w:val="00597B94"/>
    <w:rsid w:val="005D2D74"/>
    <w:rsid w:val="005E5817"/>
    <w:rsid w:val="005F69B8"/>
    <w:rsid w:val="0061255A"/>
    <w:rsid w:val="00612D7D"/>
    <w:rsid w:val="00642219"/>
    <w:rsid w:val="006A741F"/>
    <w:rsid w:val="006B578B"/>
    <w:rsid w:val="006C2057"/>
    <w:rsid w:val="006D0ED2"/>
    <w:rsid w:val="006D21E6"/>
    <w:rsid w:val="0072095B"/>
    <w:rsid w:val="00723731"/>
    <w:rsid w:val="00737012"/>
    <w:rsid w:val="0074058A"/>
    <w:rsid w:val="00757EA2"/>
    <w:rsid w:val="00787629"/>
    <w:rsid w:val="007940BB"/>
    <w:rsid w:val="00794EB9"/>
    <w:rsid w:val="007B5A2A"/>
    <w:rsid w:val="007C5EDB"/>
    <w:rsid w:val="007D1749"/>
    <w:rsid w:val="007E2DB5"/>
    <w:rsid w:val="007E779D"/>
    <w:rsid w:val="00850161"/>
    <w:rsid w:val="0085557B"/>
    <w:rsid w:val="00881030"/>
    <w:rsid w:val="008A3A5D"/>
    <w:rsid w:val="008C5EE3"/>
    <w:rsid w:val="008F0477"/>
    <w:rsid w:val="008F1331"/>
    <w:rsid w:val="009030B0"/>
    <w:rsid w:val="00911D63"/>
    <w:rsid w:val="0094006A"/>
    <w:rsid w:val="00955C02"/>
    <w:rsid w:val="009C4771"/>
    <w:rsid w:val="009D142F"/>
    <w:rsid w:val="009D7B2C"/>
    <w:rsid w:val="009F6055"/>
    <w:rsid w:val="00A05583"/>
    <w:rsid w:val="00A06933"/>
    <w:rsid w:val="00A64423"/>
    <w:rsid w:val="00A73E5B"/>
    <w:rsid w:val="00A97061"/>
    <w:rsid w:val="00AB3D1D"/>
    <w:rsid w:val="00AC3449"/>
    <w:rsid w:val="00AD0C9B"/>
    <w:rsid w:val="00AF59BB"/>
    <w:rsid w:val="00B1049B"/>
    <w:rsid w:val="00B208BE"/>
    <w:rsid w:val="00B571F2"/>
    <w:rsid w:val="00B5751B"/>
    <w:rsid w:val="00B71EAD"/>
    <w:rsid w:val="00B720B7"/>
    <w:rsid w:val="00B813F7"/>
    <w:rsid w:val="00B96477"/>
    <w:rsid w:val="00B97CA3"/>
    <w:rsid w:val="00BA0380"/>
    <w:rsid w:val="00BA5CE5"/>
    <w:rsid w:val="00BA75FD"/>
    <w:rsid w:val="00BE0E24"/>
    <w:rsid w:val="00BE7B52"/>
    <w:rsid w:val="00C23259"/>
    <w:rsid w:val="00C44894"/>
    <w:rsid w:val="00C66882"/>
    <w:rsid w:val="00C97742"/>
    <w:rsid w:val="00CB0E0E"/>
    <w:rsid w:val="00CD402E"/>
    <w:rsid w:val="00D1721A"/>
    <w:rsid w:val="00D2217B"/>
    <w:rsid w:val="00D32369"/>
    <w:rsid w:val="00D3770E"/>
    <w:rsid w:val="00D429CB"/>
    <w:rsid w:val="00D505BA"/>
    <w:rsid w:val="00D518B0"/>
    <w:rsid w:val="00DB1F67"/>
    <w:rsid w:val="00DB7D9E"/>
    <w:rsid w:val="00DC005A"/>
    <w:rsid w:val="00DD7B73"/>
    <w:rsid w:val="00E03F5B"/>
    <w:rsid w:val="00E14686"/>
    <w:rsid w:val="00E230A9"/>
    <w:rsid w:val="00E47B62"/>
    <w:rsid w:val="00E64CCE"/>
    <w:rsid w:val="00E747A7"/>
    <w:rsid w:val="00E75322"/>
    <w:rsid w:val="00EA6106"/>
    <w:rsid w:val="00ED2824"/>
    <w:rsid w:val="00EF266D"/>
    <w:rsid w:val="00F03A8A"/>
    <w:rsid w:val="00F15BA7"/>
    <w:rsid w:val="00F254FF"/>
    <w:rsid w:val="00F35098"/>
    <w:rsid w:val="00F44FF9"/>
    <w:rsid w:val="00F4519F"/>
    <w:rsid w:val="00F57BB7"/>
    <w:rsid w:val="00F77EA8"/>
    <w:rsid w:val="00FA26A3"/>
    <w:rsid w:val="00FD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73BFD8"/>
  <w15:chartTrackingRefBased/>
  <w15:docId w15:val="{745C77F8-D2A2-4328-B181-1BD2E572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D7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2D1B7C"/>
    <w:pPr>
      <w:spacing w:after="0" w:line="240" w:lineRule="auto"/>
    </w:pPr>
  </w:style>
  <w:style w:type="character" w:customStyle="1" w:styleId="checkbox-button-label-text">
    <w:name w:val="checkbox-button-label-text"/>
    <w:basedOn w:val="DefaultParagraphFont"/>
    <w:rsid w:val="005F69B8"/>
  </w:style>
  <w:style w:type="character" w:styleId="Emphasis">
    <w:name w:val="Emphasis"/>
    <w:basedOn w:val="DefaultParagraphFont"/>
    <w:uiPriority w:val="20"/>
    <w:qFormat/>
    <w:rsid w:val="005F69B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1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21A"/>
  </w:style>
  <w:style w:type="paragraph" w:styleId="Footer">
    <w:name w:val="footer"/>
    <w:basedOn w:val="Normal"/>
    <w:link w:val="FooterChar"/>
    <w:uiPriority w:val="99"/>
    <w:unhideWhenUsed/>
    <w:rsid w:val="00D1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21A"/>
  </w:style>
  <w:style w:type="paragraph" w:styleId="BalloonText">
    <w:name w:val="Balloon Text"/>
    <w:basedOn w:val="Normal"/>
    <w:link w:val="BalloonTextChar"/>
    <w:uiPriority w:val="99"/>
    <w:semiHidden/>
    <w:unhideWhenUsed/>
    <w:rsid w:val="00AD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Reese</dc:creator>
  <cp:keywords/>
  <dc:description/>
  <cp:lastModifiedBy>Erik Reese</cp:lastModifiedBy>
  <cp:revision>4</cp:revision>
  <dcterms:created xsi:type="dcterms:W3CDTF">2021-04-17T18:12:00Z</dcterms:created>
  <dcterms:modified xsi:type="dcterms:W3CDTF">2021-04-17T18:12:00Z</dcterms:modified>
</cp:coreProperties>
</file>