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00EC3" w14:textId="77777777" w:rsidR="00C04718" w:rsidRDefault="00C04718">
      <w:pPr>
        <w:rPr>
          <w:b/>
          <w:sz w:val="26"/>
          <w:szCs w:val="26"/>
        </w:rPr>
      </w:pPr>
    </w:p>
    <w:p w14:paraId="48E348D3" w14:textId="15FE1D9B" w:rsidR="00C04718" w:rsidRDefault="00865451">
      <w:pPr>
        <w:jc w:val="center"/>
        <w:rPr>
          <w:b/>
          <w:color w:val="FF0000"/>
          <w:sz w:val="28"/>
          <w:szCs w:val="28"/>
        </w:rPr>
      </w:pPr>
      <w:r>
        <w:rPr>
          <w:b/>
          <w:sz w:val="28"/>
          <w:szCs w:val="28"/>
        </w:rPr>
        <w:t xml:space="preserve">English as a Second Language for </w:t>
      </w:r>
      <w:r w:rsidRPr="00865451">
        <w:rPr>
          <w:b/>
          <w:color w:val="000000" w:themeColor="text1"/>
          <w:sz w:val="28"/>
          <w:szCs w:val="28"/>
        </w:rPr>
        <w:t xml:space="preserve">Moorpark College </w:t>
      </w:r>
      <w:r w:rsidRPr="00865451">
        <w:rPr>
          <w:b/>
          <w:color w:val="000000" w:themeColor="text1"/>
          <w:sz w:val="28"/>
          <w:szCs w:val="28"/>
        </w:rPr>
        <w:t xml:space="preserve">2025 </w:t>
      </w:r>
      <w:r w:rsidRPr="00865451">
        <w:rPr>
          <w:b/>
          <w:color w:val="000000" w:themeColor="text1"/>
          <w:sz w:val="28"/>
          <w:szCs w:val="28"/>
        </w:rPr>
        <w:t xml:space="preserve">- </w:t>
      </w:r>
      <w:r w:rsidRPr="00865451">
        <w:rPr>
          <w:b/>
          <w:color w:val="000000" w:themeColor="text1"/>
          <w:sz w:val="28"/>
          <w:szCs w:val="28"/>
        </w:rPr>
        <w:t>2026</w:t>
      </w:r>
    </w:p>
    <w:tbl>
      <w:tblPr>
        <w:tblStyle w:val="a7"/>
        <w:tblW w:w="1044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400"/>
        <w:gridCol w:w="2700"/>
        <w:gridCol w:w="2340"/>
      </w:tblGrid>
      <w:tr w:rsidR="00865451" w14:paraId="512A84F4" w14:textId="77777777" w:rsidTr="00865451">
        <w:tc>
          <w:tcPr>
            <w:tcW w:w="5400" w:type="dxa"/>
            <w:shd w:val="clear" w:color="auto" w:fill="BDD7EE"/>
          </w:tcPr>
          <w:p w14:paraId="618F6B49" w14:textId="77777777" w:rsidR="00865451" w:rsidRPr="00865451" w:rsidRDefault="00865451" w:rsidP="00865451">
            <w:pPr>
              <w:jc w:val="center"/>
              <w:rPr>
                <w:b/>
                <w:sz w:val="24"/>
                <w:szCs w:val="24"/>
              </w:rPr>
            </w:pPr>
            <w:r w:rsidRPr="00865451">
              <w:rPr>
                <w:b/>
                <w:sz w:val="24"/>
                <w:szCs w:val="24"/>
              </w:rPr>
              <w:t>Moorpark College</w:t>
            </w:r>
          </w:p>
          <w:p w14:paraId="51096696" w14:textId="1B7D446E" w:rsidR="00865451" w:rsidRPr="00865451" w:rsidRDefault="00865451">
            <w:pPr>
              <w:rPr>
                <w:b/>
                <w:sz w:val="24"/>
                <w:szCs w:val="24"/>
              </w:rPr>
            </w:pPr>
            <w:r w:rsidRPr="00865451">
              <w:rPr>
                <w:b/>
                <w:sz w:val="24"/>
                <w:szCs w:val="24"/>
              </w:rPr>
              <w:t>English as a Second Language (ESL) Course</w:t>
            </w:r>
          </w:p>
        </w:tc>
        <w:tc>
          <w:tcPr>
            <w:tcW w:w="2700" w:type="dxa"/>
            <w:shd w:val="clear" w:color="auto" w:fill="BDD7EE"/>
          </w:tcPr>
          <w:p w14:paraId="70B15DFC" w14:textId="55DB319B" w:rsidR="00865451" w:rsidRPr="00865451" w:rsidRDefault="00865451">
            <w:pPr>
              <w:rPr>
                <w:b/>
                <w:sz w:val="24"/>
                <w:szCs w:val="24"/>
              </w:rPr>
            </w:pPr>
            <w:r w:rsidRPr="00865451">
              <w:rPr>
                <w:b/>
                <w:sz w:val="24"/>
                <w:szCs w:val="24"/>
              </w:rPr>
              <w:t>Oxnard College Comparable Course</w:t>
            </w:r>
          </w:p>
        </w:tc>
        <w:tc>
          <w:tcPr>
            <w:tcW w:w="2340" w:type="dxa"/>
            <w:shd w:val="clear" w:color="auto" w:fill="BDD7EE"/>
          </w:tcPr>
          <w:p w14:paraId="5F6F700D" w14:textId="2D5BC1C9" w:rsidR="00865451" w:rsidRPr="00865451" w:rsidRDefault="00865451">
            <w:pPr>
              <w:rPr>
                <w:b/>
                <w:sz w:val="24"/>
                <w:szCs w:val="24"/>
              </w:rPr>
            </w:pPr>
            <w:r w:rsidRPr="00865451">
              <w:rPr>
                <w:b/>
                <w:sz w:val="24"/>
                <w:szCs w:val="24"/>
              </w:rPr>
              <w:t>Ventura College Comparable Course</w:t>
            </w:r>
          </w:p>
        </w:tc>
      </w:tr>
      <w:tr w:rsidR="00865451" w14:paraId="6E15237A" w14:textId="77777777" w:rsidTr="00865451">
        <w:trPr>
          <w:trHeight w:val="315"/>
        </w:trPr>
        <w:tc>
          <w:tcPr>
            <w:tcW w:w="5400" w:type="dxa"/>
            <w:shd w:val="clear" w:color="auto" w:fill="BDD7EE"/>
          </w:tcPr>
          <w:p w14:paraId="6C64FDB0" w14:textId="77777777" w:rsidR="00865451" w:rsidRDefault="00865451">
            <w:r>
              <w:t>ESL M11 Academic Reading and Writing I (5 units)</w:t>
            </w:r>
          </w:p>
        </w:tc>
        <w:tc>
          <w:tcPr>
            <w:tcW w:w="2700" w:type="dxa"/>
          </w:tcPr>
          <w:p w14:paraId="7965411F" w14:textId="77777777" w:rsidR="00865451" w:rsidRDefault="00865451">
            <w:r>
              <w:t>ESL R086 (4 units)</w:t>
            </w:r>
          </w:p>
          <w:p w14:paraId="3C802997" w14:textId="77777777" w:rsidR="00865451" w:rsidRDefault="00865451"/>
        </w:tc>
        <w:tc>
          <w:tcPr>
            <w:tcW w:w="2340" w:type="dxa"/>
          </w:tcPr>
          <w:p w14:paraId="1BC84BEA" w14:textId="77777777" w:rsidR="00865451" w:rsidRDefault="00865451">
            <w:r>
              <w:t>ENGM V01R (4 units)</w:t>
            </w:r>
          </w:p>
        </w:tc>
      </w:tr>
      <w:tr w:rsidR="00865451" w14:paraId="5585280E" w14:textId="77777777" w:rsidTr="00865451">
        <w:trPr>
          <w:trHeight w:val="332"/>
        </w:trPr>
        <w:tc>
          <w:tcPr>
            <w:tcW w:w="5400" w:type="dxa"/>
            <w:shd w:val="clear" w:color="auto" w:fill="BDD7EE"/>
          </w:tcPr>
          <w:p w14:paraId="3CDD749F" w14:textId="77777777" w:rsidR="00865451" w:rsidRDefault="00865451">
            <w:r>
              <w:t>ESL M12 Academic Reading and Writing II (5 units)</w:t>
            </w:r>
          </w:p>
        </w:tc>
        <w:tc>
          <w:tcPr>
            <w:tcW w:w="2700" w:type="dxa"/>
          </w:tcPr>
          <w:p w14:paraId="16CFD37A" w14:textId="77777777" w:rsidR="00865451" w:rsidRDefault="00865451">
            <w:r>
              <w:t>No comparable course</w:t>
            </w:r>
          </w:p>
        </w:tc>
        <w:tc>
          <w:tcPr>
            <w:tcW w:w="2340" w:type="dxa"/>
          </w:tcPr>
          <w:p w14:paraId="3DF0AF62" w14:textId="77777777" w:rsidR="00865451" w:rsidRDefault="00865451">
            <w:r>
              <w:t>ENGM V02R (4 units)</w:t>
            </w:r>
          </w:p>
        </w:tc>
      </w:tr>
      <w:tr w:rsidR="00865451" w14:paraId="737A611C" w14:textId="77777777" w:rsidTr="00865451">
        <w:trPr>
          <w:trHeight w:val="332"/>
        </w:trPr>
        <w:tc>
          <w:tcPr>
            <w:tcW w:w="5400" w:type="dxa"/>
            <w:shd w:val="clear" w:color="auto" w:fill="BDD7EE"/>
          </w:tcPr>
          <w:p w14:paraId="73486BA5" w14:textId="77777777" w:rsidR="00865451" w:rsidRDefault="00865451">
            <w:r>
              <w:t>ESL M13 Academic Reading and Writing III</w:t>
            </w:r>
          </w:p>
          <w:p w14:paraId="3C56A13D" w14:textId="77777777" w:rsidR="00865451" w:rsidRDefault="00865451">
            <w:r>
              <w:t xml:space="preserve"> (5 units)</w:t>
            </w:r>
          </w:p>
        </w:tc>
        <w:tc>
          <w:tcPr>
            <w:tcW w:w="2700" w:type="dxa"/>
          </w:tcPr>
          <w:p w14:paraId="62746438" w14:textId="77777777" w:rsidR="00865451" w:rsidRDefault="00865451">
            <w:r>
              <w:t>No comparable course</w:t>
            </w:r>
          </w:p>
        </w:tc>
        <w:tc>
          <w:tcPr>
            <w:tcW w:w="2340" w:type="dxa"/>
          </w:tcPr>
          <w:p w14:paraId="2635A7FD" w14:textId="77777777" w:rsidR="00865451" w:rsidRDefault="00865451">
            <w:r>
              <w:t>ENGM V03R (4 units)</w:t>
            </w:r>
          </w:p>
        </w:tc>
      </w:tr>
      <w:tr w:rsidR="00865451" w14:paraId="75C33CE2" w14:textId="77777777" w:rsidTr="00865451">
        <w:trPr>
          <w:trHeight w:val="332"/>
        </w:trPr>
        <w:tc>
          <w:tcPr>
            <w:tcW w:w="5400" w:type="dxa"/>
            <w:shd w:val="clear" w:color="auto" w:fill="BDD7EE"/>
          </w:tcPr>
          <w:p w14:paraId="5FE9F986" w14:textId="77777777" w:rsidR="00865451" w:rsidRDefault="00865451">
            <w:r>
              <w:t xml:space="preserve">ESL M40 ESL Academic Oral Communication </w:t>
            </w:r>
          </w:p>
          <w:p w14:paraId="2E166073" w14:textId="77777777" w:rsidR="00865451" w:rsidRDefault="00865451">
            <w:r>
              <w:t>(4 units) - AA only, not CSU transferable</w:t>
            </w:r>
          </w:p>
        </w:tc>
        <w:tc>
          <w:tcPr>
            <w:tcW w:w="2700" w:type="dxa"/>
          </w:tcPr>
          <w:p w14:paraId="2B7EDC4B" w14:textId="77777777" w:rsidR="00865451" w:rsidRDefault="00865451">
            <w:r>
              <w:t>No comparable course</w:t>
            </w:r>
          </w:p>
        </w:tc>
        <w:tc>
          <w:tcPr>
            <w:tcW w:w="2340" w:type="dxa"/>
          </w:tcPr>
          <w:p w14:paraId="3CD5EBC8" w14:textId="77777777" w:rsidR="00865451" w:rsidRDefault="00865451">
            <w:r>
              <w:t>No comparable course</w:t>
            </w:r>
          </w:p>
        </w:tc>
      </w:tr>
      <w:tr w:rsidR="00865451" w14:paraId="220C65C4" w14:textId="77777777" w:rsidTr="00865451">
        <w:trPr>
          <w:trHeight w:val="332"/>
        </w:trPr>
        <w:tc>
          <w:tcPr>
            <w:tcW w:w="5400" w:type="dxa"/>
            <w:shd w:val="clear" w:color="auto" w:fill="BDD7EE"/>
          </w:tcPr>
          <w:p w14:paraId="4A310C1E" w14:textId="77777777" w:rsidR="00865451" w:rsidRDefault="00865451"/>
        </w:tc>
        <w:tc>
          <w:tcPr>
            <w:tcW w:w="2700" w:type="dxa"/>
          </w:tcPr>
          <w:p w14:paraId="56AAC9A4" w14:textId="77777777" w:rsidR="00865451" w:rsidRDefault="00865451"/>
        </w:tc>
        <w:tc>
          <w:tcPr>
            <w:tcW w:w="2340" w:type="dxa"/>
          </w:tcPr>
          <w:p w14:paraId="7106843F" w14:textId="77777777" w:rsidR="00865451" w:rsidRDefault="00865451"/>
        </w:tc>
      </w:tr>
      <w:tr w:rsidR="00865451" w14:paraId="2C1FC2C6" w14:textId="77777777" w:rsidTr="00865451">
        <w:trPr>
          <w:trHeight w:val="332"/>
        </w:trPr>
        <w:tc>
          <w:tcPr>
            <w:tcW w:w="5400" w:type="dxa"/>
            <w:tcBorders>
              <w:bottom w:val="single" w:sz="4" w:space="0" w:color="211D1E"/>
            </w:tcBorders>
            <w:shd w:val="clear" w:color="auto" w:fill="BDD7EE"/>
          </w:tcPr>
          <w:p w14:paraId="77D49FF2" w14:textId="77777777" w:rsidR="00865451" w:rsidRDefault="00865451">
            <w:pPr>
              <w:jc w:val="center"/>
              <w:rPr>
                <w:b/>
              </w:rPr>
            </w:pPr>
            <w:r>
              <w:rPr>
                <w:b/>
              </w:rPr>
              <w:t>Noncredit Course</w:t>
            </w:r>
          </w:p>
          <w:p w14:paraId="3308FEE0" w14:textId="60008173" w:rsidR="00865451" w:rsidRDefault="00865451">
            <w:pPr>
              <w:spacing w:after="160" w:line="259" w:lineRule="auto"/>
              <w:rPr>
                <w:b/>
              </w:rPr>
            </w:pPr>
            <w:bookmarkStart w:id="0" w:name="_heading=h.30j0zll" w:colFirst="0" w:colLast="0"/>
            <w:bookmarkEnd w:id="0"/>
            <w:r>
              <w:t>Course comparability for noncredit courses is listed to assist counselors with substitutions that allow students to complete noncredit certificates. Noncredit courses should not have comparable courses added to Banner because there is no limitation on repetition of noncredit courses.</w:t>
            </w:r>
          </w:p>
        </w:tc>
        <w:tc>
          <w:tcPr>
            <w:tcW w:w="2700" w:type="dxa"/>
          </w:tcPr>
          <w:p w14:paraId="7B26A9DE" w14:textId="77777777" w:rsidR="00865451" w:rsidRDefault="00865451"/>
        </w:tc>
        <w:tc>
          <w:tcPr>
            <w:tcW w:w="2340" w:type="dxa"/>
          </w:tcPr>
          <w:p w14:paraId="154FA954" w14:textId="77777777" w:rsidR="00865451" w:rsidRDefault="00865451"/>
        </w:tc>
      </w:tr>
      <w:tr w:rsidR="00865451" w14:paraId="134C7D88" w14:textId="77777777" w:rsidTr="00865451">
        <w:trPr>
          <w:trHeight w:val="342"/>
        </w:trPr>
        <w:tc>
          <w:tcPr>
            <w:tcW w:w="5400" w:type="dxa"/>
            <w:tcBorders>
              <w:top w:val="single" w:sz="4" w:space="0" w:color="211D1E"/>
              <w:left w:val="single" w:sz="4" w:space="0" w:color="211D1E"/>
              <w:bottom w:val="single" w:sz="4" w:space="0" w:color="211D1E"/>
            </w:tcBorders>
            <w:shd w:val="clear" w:color="auto" w:fill="BDD7EE"/>
          </w:tcPr>
          <w:p w14:paraId="1D05AB71" w14:textId="77777777" w:rsidR="00865451" w:rsidRDefault="00865451">
            <w:r>
              <w:t>ESL M901 High-Beginning Noncredit ESL (61.25-70 hours)</w:t>
            </w:r>
          </w:p>
        </w:tc>
        <w:tc>
          <w:tcPr>
            <w:tcW w:w="2700" w:type="dxa"/>
          </w:tcPr>
          <w:p w14:paraId="7D8ECC17" w14:textId="77777777" w:rsidR="00865451" w:rsidRDefault="00865451">
            <w:r>
              <w:t>No comparable course</w:t>
            </w:r>
          </w:p>
        </w:tc>
        <w:tc>
          <w:tcPr>
            <w:tcW w:w="2340" w:type="dxa"/>
          </w:tcPr>
          <w:p w14:paraId="6A38777A" w14:textId="77777777" w:rsidR="00865451" w:rsidRDefault="00865451">
            <w:pPr>
              <w:keepNext/>
              <w:keepLines/>
            </w:pPr>
            <w:r>
              <w:t>ESL N100B (80–87.5 hours)</w:t>
            </w:r>
          </w:p>
        </w:tc>
      </w:tr>
      <w:tr w:rsidR="00865451" w14:paraId="252DA170" w14:textId="77777777" w:rsidTr="00865451">
        <w:trPr>
          <w:trHeight w:val="332"/>
        </w:trPr>
        <w:tc>
          <w:tcPr>
            <w:tcW w:w="5400" w:type="dxa"/>
            <w:tcBorders>
              <w:top w:val="single" w:sz="4" w:space="0" w:color="211D1E"/>
            </w:tcBorders>
            <w:shd w:val="clear" w:color="auto" w:fill="BDD7EE"/>
          </w:tcPr>
          <w:p w14:paraId="42FAA7D5" w14:textId="38113FCB" w:rsidR="00865451" w:rsidRDefault="00865451">
            <w:r>
              <w:t>ESL M902 Low-Intermediate Noncredit ESL (61.25-70 hours)</w:t>
            </w:r>
          </w:p>
        </w:tc>
        <w:tc>
          <w:tcPr>
            <w:tcW w:w="2700" w:type="dxa"/>
          </w:tcPr>
          <w:p w14:paraId="25056D13" w14:textId="77777777" w:rsidR="00865451" w:rsidRDefault="00865451">
            <w:pPr>
              <w:keepNext/>
              <w:keepLines/>
            </w:pPr>
            <w:r>
              <w:t>No comparable course</w:t>
            </w:r>
          </w:p>
        </w:tc>
        <w:tc>
          <w:tcPr>
            <w:tcW w:w="2340" w:type="dxa"/>
          </w:tcPr>
          <w:p w14:paraId="5C362B72" w14:textId="77777777" w:rsidR="00865451" w:rsidRDefault="00865451">
            <w:r>
              <w:t>ESL N100C (80–87.5 hours)</w:t>
            </w:r>
          </w:p>
        </w:tc>
      </w:tr>
      <w:tr w:rsidR="00865451" w14:paraId="54714B3A" w14:textId="77777777" w:rsidTr="00865451">
        <w:trPr>
          <w:trHeight w:val="332"/>
        </w:trPr>
        <w:tc>
          <w:tcPr>
            <w:tcW w:w="5400" w:type="dxa"/>
            <w:shd w:val="clear" w:color="auto" w:fill="BDD7EE"/>
          </w:tcPr>
          <w:p w14:paraId="56881EEB" w14:textId="08C913D5" w:rsidR="00865451" w:rsidRDefault="00865451">
            <w:r>
              <w:t>ESL M903 High-Intermediate Noncredit ESL (61.25-70 hours)</w:t>
            </w:r>
          </w:p>
        </w:tc>
        <w:tc>
          <w:tcPr>
            <w:tcW w:w="2700" w:type="dxa"/>
          </w:tcPr>
          <w:p w14:paraId="3F16FEC7" w14:textId="77777777" w:rsidR="00865451" w:rsidRDefault="00865451">
            <w:pPr>
              <w:keepNext/>
              <w:keepLines/>
            </w:pPr>
            <w:r>
              <w:t>No comparable course</w:t>
            </w:r>
          </w:p>
        </w:tc>
        <w:tc>
          <w:tcPr>
            <w:tcW w:w="2340" w:type="dxa"/>
          </w:tcPr>
          <w:p w14:paraId="7038F739" w14:textId="77777777" w:rsidR="00865451" w:rsidRDefault="00865451">
            <w:r>
              <w:t>ESL N100D (80–87.5 hours)</w:t>
            </w:r>
          </w:p>
        </w:tc>
      </w:tr>
      <w:tr w:rsidR="00865451" w14:paraId="088D06D0" w14:textId="77777777" w:rsidTr="00865451">
        <w:trPr>
          <w:trHeight w:val="332"/>
        </w:trPr>
        <w:tc>
          <w:tcPr>
            <w:tcW w:w="5400" w:type="dxa"/>
            <w:shd w:val="clear" w:color="auto" w:fill="BDD7EE"/>
          </w:tcPr>
          <w:p w14:paraId="0EC593CC" w14:textId="250A97FD" w:rsidR="00865451" w:rsidRDefault="00865451">
            <w:r>
              <w:t>ESL M904 Advanced Noncredit ESL (61.25-70 hours)</w:t>
            </w:r>
          </w:p>
        </w:tc>
        <w:tc>
          <w:tcPr>
            <w:tcW w:w="2700" w:type="dxa"/>
          </w:tcPr>
          <w:p w14:paraId="4CC3B354" w14:textId="77777777" w:rsidR="00865451" w:rsidRDefault="00865451">
            <w:pPr>
              <w:keepNext/>
              <w:keepLines/>
            </w:pPr>
            <w:r>
              <w:t>No comparable course</w:t>
            </w:r>
          </w:p>
        </w:tc>
        <w:tc>
          <w:tcPr>
            <w:tcW w:w="2340" w:type="dxa"/>
          </w:tcPr>
          <w:p w14:paraId="0AC37C87" w14:textId="77777777" w:rsidR="00865451" w:rsidRDefault="00865451">
            <w:r>
              <w:t>No comparable course</w:t>
            </w:r>
          </w:p>
        </w:tc>
      </w:tr>
      <w:tr w:rsidR="00865451" w14:paraId="3CC26ADE" w14:textId="77777777" w:rsidTr="00865451">
        <w:trPr>
          <w:trHeight w:val="332"/>
        </w:trPr>
        <w:tc>
          <w:tcPr>
            <w:tcW w:w="5400" w:type="dxa"/>
            <w:shd w:val="clear" w:color="auto" w:fill="BDD7EE"/>
          </w:tcPr>
          <w:p w14:paraId="48D0465E" w14:textId="77777777" w:rsidR="00865451" w:rsidRDefault="00865451">
            <w:r>
              <w:t>ESL M911 Academic Reading and Writing I (262.5 hours)</w:t>
            </w:r>
          </w:p>
        </w:tc>
        <w:tc>
          <w:tcPr>
            <w:tcW w:w="2700" w:type="dxa"/>
          </w:tcPr>
          <w:p w14:paraId="79286973" w14:textId="77777777" w:rsidR="00865451" w:rsidRDefault="00865451">
            <w:pPr>
              <w:keepNext/>
              <w:keepLines/>
            </w:pPr>
            <w:r>
              <w:t>No comparable course</w:t>
            </w:r>
          </w:p>
        </w:tc>
        <w:tc>
          <w:tcPr>
            <w:tcW w:w="2340" w:type="dxa"/>
          </w:tcPr>
          <w:p w14:paraId="1E6250CC" w14:textId="77777777" w:rsidR="00865451" w:rsidRDefault="00865451">
            <w:pPr>
              <w:keepNext/>
              <w:keepLines/>
            </w:pPr>
            <w:r>
              <w:t>No comparable course</w:t>
            </w:r>
          </w:p>
        </w:tc>
      </w:tr>
      <w:tr w:rsidR="00865451" w14:paraId="6785924D" w14:textId="77777777" w:rsidTr="00865451">
        <w:trPr>
          <w:trHeight w:val="332"/>
        </w:trPr>
        <w:tc>
          <w:tcPr>
            <w:tcW w:w="5400" w:type="dxa"/>
            <w:shd w:val="clear" w:color="auto" w:fill="BDD7EE"/>
          </w:tcPr>
          <w:p w14:paraId="22A0F699" w14:textId="77777777" w:rsidR="00865451" w:rsidRDefault="00865451">
            <w:r>
              <w:t>ESL M912 Academic Reading and Writing II (262.5 hours)</w:t>
            </w:r>
          </w:p>
        </w:tc>
        <w:tc>
          <w:tcPr>
            <w:tcW w:w="2700" w:type="dxa"/>
          </w:tcPr>
          <w:p w14:paraId="1421111E" w14:textId="77777777" w:rsidR="00865451" w:rsidRDefault="00865451">
            <w:pPr>
              <w:keepNext/>
              <w:keepLines/>
            </w:pPr>
            <w:r>
              <w:t>No comparable course</w:t>
            </w:r>
          </w:p>
        </w:tc>
        <w:tc>
          <w:tcPr>
            <w:tcW w:w="2340" w:type="dxa"/>
          </w:tcPr>
          <w:p w14:paraId="539A74F4" w14:textId="77777777" w:rsidR="00865451" w:rsidRDefault="00865451">
            <w:pPr>
              <w:keepNext/>
              <w:keepLines/>
            </w:pPr>
            <w:r>
              <w:t>No comparable course</w:t>
            </w:r>
          </w:p>
        </w:tc>
      </w:tr>
      <w:tr w:rsidR="00865451" w14:paraId="479C851B" w14:textId="77777777" w:rsidTr="00865451">
        <w:trPr>
          <w:trHeight w:val="332"/>
        </w:trPr>
        <w:tc>
          <w:tcPr>
            <w:tcW w:w="5400" w:type="dxa"/>
            <w:shd w:val="clear" w:color="auto" w:fill="BDD7EE"/>
          </w:tcPr>
          <w:p w14:paraId="64AE52DF" w14:textId="77777777" w:rsidR="00865451" w:rsidRDefault="00865451">
            <w:r>
              <w:t>ESL M940 ESL Academic Oral Communication (210 hours)</w:t>
            </w:r>
          </w:p>
        </w:tc>
        <w:tc>
          <w:tcPr>
            <w:tcW w:w="2700" w:type="dxa"/>
          </w:tcPr>
          <w:p w14:paraId="0EAE1659" w14:textId="77777777" w:rsidR="00865451" w:rsidRDefault="00865451">
            <w:pPr>
              <w:keepNext/>
              <w:keepLines/>
            </w:pPr>
            <w:r>
              <w:t>No comparable course</w:t>
            </w:r>
          </w:p>
        </w:tc>
        <w:tc>
          <w:tcPr>
            <w:tcW w:w="2340" w:type="dxa"/>
          </w:tcPr>
          <w:p w14:paraId="479C05EF" w14:textId="77777777" w:rsidR="00865451" w:rsidRDefault="00865451">
            <w:pPr>
              <w:keepNext/>
              <w:keepLines/>
            </w:pPr>
            <w:r>
              <w:t>No comparable course</w:t>
            </w:r>
          </w:p>
        </w:tc>
      </w:tr>
    </w:tbl>
    <w:p w14:paraId="0185EF79" w14:textId="77777777" w:rsidR="00C04718" w:rsidRDefault="00C04718">
      <w:bookmarkStart w:id="1" w:name="_heading=h.gjdgxs" w:colFirst="0" w:colLast="0"/>
      <w:bookmarkEnd w:id="1"/>
    </w:p>
    <w:sectPr w:rsidR="00C04718">
      <w:pgSz w:w="12240" w:h="15840"/>
      <w:pgMar w:top="432" w:right="720" w:bottom="432"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is721 Cn BT">
    <w:panose1 w:val="00000000000000000000"/>
    <w:charset w:val="00"/>
    <w:family w:val="roman"/>
    <w:notTrueType/>
    <w:pitch w:val="default"/>
  </w:font>
  <w:font w:name="Segoe UI">
    <w:panose1 w:val="020B0502040204020203"/>
    <w:charset w:val="00"/>
    <w:family w:val="roman"/>
    <w:notTrueType/>
    <w:pitch w:val="default"/>
  </w:font>
  <w:font w:name="Swis721 BlkCn BT">
    <w:panose1 w:val="00000000000000000000"/>
    <w:charset w:val="00"/>
    <w:family w:val="roman"/>
    <w:notTrueType/>
    <w:pitch w:val="default"/>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718"/>
    <w:rsid w:val="00865451"/>
    <w:rsid w:val="00C04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F1F757"/>
  <w15:docId w15:val="{413D3DDE-7B80-44FC-B4E4-991C3918E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7D2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pPr>
      <w:spacing w:after="0" w:line="240" w:lineRule="auto"/>
    </w:pPr>
    <w:tblPr>
      <w:tblStyleRowBandSize w:val="1"/>
      <w:tblStyleColBandSize w:val="1"/>
    </w:tblPr>
  </w:style>
  <w:style w:type="paragraph" w:customStyle="1" w:styleId="Pa92">
    <w:name w:val="Pa92"/>
    <w:basedOn w:val="Normal"/>
    <w:next w:val="Normal"/>
    <w:uiPriority w:val="99"/>
    <w:rsid w:val="002403FD"/>
    <w:pPr>
      <w:autoSpaceDE w:val="0"/>
      <w:autoSpaceDN w:val="0"/>
      <w:adjustRightInd w:val="0"/>
      <w:spacing w:after="0" w:line="177" w:lineRule="atLeast"/>
    </w:pPr>
    <w:rPr>
      <w:rFonts w:ascii="Swis721 Cn BT" w:hAnsi="Swis721 Cn BT"/>
      <w:sz w:val="24"/>
      <w:szCs w:val="24"/>
    </w:rPr>
  </w:style>
  <w:style w:type="paragraph" w:styleId="BalloonText">
    <w:name w:val="Balloon Text"/>
    <w:basedOn w:val="Normal"/>
    <w:link w:val="BalloonTextChar"/>
    <w:uiPriority w:val="99"/>
    <w:semiHidden/>
    <w:unhideWhenUsed/>
    <w:rsid w:val="005677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711"/>
    <w:rPr>
      <w:rFonts w:ascii="Segoe UI" w:hAnsi="Segoe UI" w:cs="Segoe UI"/>
      <w:sz w:val="18"/>
      <w:szCs w:val="18"/>
    </w:rPr>
  </w:style>
  <w:style w:type="character" w:styleId="CommentReference">
    <w:name w:val="annotation reference"/>
    <w:basedOn w:val="DefaultParagraphFont"/>
    <w:uiPriority w:val="99"/>
    <w:semiHidden/>
    <w:unhideWhenUsed/>
    <w:rsid w:val="00941017"/>
    <w:rPr>
      <w:sz w:val="16"/>
      <w:szCs w:val="16"/>
    </w:rPr>
  </w:style>
  <w:style w:type="paragraph" w:styleId="CommentText">
    <w:name w:val="annotation text"/>
    <w:basedOn w:val="Normal"/>
    <w:link w:val="CommentTextChar"/>
    <w:uiPriority w:val="99"/>
    <w:semiHidden/>
    <w:unhideWhenUsed/>
    <w:rsid w:val="00941017"/>
    <w:pPr>
      <w:spacing w:line="240" w:lineRule="auto"/>
    </w:pPr>
    <w:rPr>
      <w:sz w:val="20"/>
      <w:szCs w:val="20"/>
    </w:rPr>
  </w:style>
  <w:style w:type="character" w:customStyle="1" w:styleId="CommentTextChar">
    <w:name w:val="Comment Text Char"/>
    <w:basedOn w:val="DefaultParagraphFont"/>
    <w:link w:val="CommentText"/>
    <w:uiPriority w:val="99"/>
    <w:semiHidden/>
    <w:rsid w:val="00941017"/>
    <w:rPr>
      <w:sz w:val="20"/>
      <w:szCs w:val="20"/>
    </w:rPr>
  </w:style>
  <w:style w:type="paragraph" w:styleId="CommentSubject">
    <w:name w:val="annotation subject"/>
    <w:basedOn w:val="CommentText"/>
    <w:next w:val="CommentText"/>
    <w:link w:val="CommentSubjectChar"/>
    <w:uiPriority w:val="99"/>
    <w:semiHidden/>
    <w:unhideWhenUsed/>
    <w:rsid w:val="00941017"/>
    <w:rPr>
      <w:b/>
      <w:bCs/>
    </w:rPr>
  </w:style>
  <w:style w:type="character" w:customStyle="1" w:styleId="CommentSubjectChar">
    <w:name w:val="Comment Subject Char"/>
    <w:basedOn w:val="CommentTextChar"/>
    <w:link w:val="CommentSubject"/>
    <w:uiPriority w:val="99"/>
    <w:semiHidden/>
    <w:rsid w:val="00941017"/>
    <w:rPr>
      <w:b/>
      <w:bCs/>
      <w:sz w:val="20"/>
      <w:szCs w:val="20"/>
    </w:rPr>
  </w:style>
  <w:style w:type="paragraph" w:customStyle="1" w:styleId="Pa344">
    <w:name w:val="Pa344"/>
    <w:basedOn w:val="Normal"/>
    <w:next w:val="Normal"/>
    <w:uiPriority w:val="99"/>
    <w:rsid w:val="00FE2E70"/>
    <w:pPr>
      <w:autoSpaceDE w:val="0"/>
      <w:autoSpaceDN w:val="0"/>
      <w:adjustRightInd w:val="0"/>
      <w:spacing w:after="0" w:line="187" w:lineRule="atLeast"/>
    </w:pPr>
    <w:rPr>
      <w:rFonts w:ascii="Swis721 BlkCn BT" w:hAnsi="Swis721 BlkCn BT"/>
      <w:sz w:val="24"/>
      <w:szCs w:val="24"/>
    </w:rPr>
  </w:style>
  <w:style w:type="character" w:customStyle="1" w:styleId="A70">
    <w:name w:val="A70"/>
    <w:uiPriority w:val="99"/>
    <w:rsid w:val="00F72FC0"/>
    <w:rPr>
      <w:rFonts w:cs="Swis721 BlkCn BT"/>
      <w:b/>
      <w:bCs/>
      <w:color w:val="211D1E"/>
      <w:sz w:val="19"/>
      <w:szCs w:val="19"/>
    </w:rPr>
  </w:style>
  <w:style w:type="character" w:customStyle="1" w:styleId="A86">
    <w:name w:val="A86"/>
    <w:uiPriority w:val="99"/>
    <w:rsid w:val="00F72FC0"/>
    <w:rPr>
      <w:rFonts w:cs="Swis721 BlkCn BT"/>
      <w:b/>
      <w:bCs/>
      <w:color w:val="211D1E"/>
      <w:sz w:val="18"/>
      <w:szCs w:val="18"/>
    </w:rPr>
  </w:style>
  <w:style w:type="character" w:customStyle="1" w:styleId="A101">
    <w:name w:val="A101"/>
    <w:uiPriority w:val="99"/>
    <w:rsid w:val="00F72FC0"/>
    <w:rPr>
      <w:rFonts w:cs="Swis721 BlkCn BT"/>
      <w:b/>
      <w:bCs/>
      <w:color w:val="211D1E"/>
      <w:sz w:val="21"/>
      <w:szCs w:val="21"/>
    </w:rPr>
  </w:style>
  <w:style w:type="paragraph" w:customStyle="1" w:styleId="Pa347">
    <w:name w:val="Pa347"/>
    <w:basedOn w:val="Normal"/>
    <w:next w:val="Normal"/>
    <w:uiPriority w:val="99"/>
    <w:rsid w:val="00EE4BC2"/>
    <w:pPr>
      <w:autoSpaceDE w:val="0"/>
      <w:autoSpaceDN w:val="0"/>
      <w:adjustRightInd w:val="0"/>
      <w:spacing w:after="0" w:line="187" w:lineRule="atLeast"/>
    </w:pPr>
    <w:rPr>
      <w:rFonts w:ascii="Swis721 BlkCn BT" w:hAnsi="Swis721 BlkCn BT"/>
      <w:sz w:val="24"/>
      <w:szCs w:val="24"/>
    </w:rPr>
  </w:style>
  <w:style w:type="paragraph" w:customStyle="1" w:styleId="Pa505">
    <w:name w:val="Pa505"/>
    <w:basedOn w:val="Normal"/>
    <w:next w:val="Normal"/>
    <w:uiPriority w:val="99"/>
    <w:rsid w:val="00182346"/>
    <w:pPr>
      <w:autoSpaceDE w:val="0"/>
      <w:autoSpaceDN w:val="0"/>
      <w:adjustRightInd w:val="0"/>
      <w:spacing w:after="0" w:line="187" w:lineRule="atLeast"/>
    </w:pPr>
    <w:rPr>
      <w:rFonts w:ascii="Swis721 BlkCn BT" w:hAnsi="Swis721 BlkCn BT"/>
      <w:sz w:val="24"/>
      <w:szCs w:val="24"/>
    </w:r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7">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5oe4uoNEpCgIaj3YC6U5/ZDIpA==">CgMxLjAyCWguMzBqMHpsbDIIaC5namRneHMyCGguZ2pkZ3hzOAByITFQMHB4MW5oLTJEUXkzWlE5emFNN2JMbzU2bjBaUE8xSQ==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240</Words>
  <Characters>1359</Characters>
  <Application>Microsoft Office Word</Application>
  <DocSecurity>0</DocSecurity>
  <Lines>84</Lines>
  <Paragraphs>48</Paragraphs>
  <ScaleCrop>false</ScaleCrop>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Letrisha Mai</dc:creator>
  <cp:lastModifiedBy>Letrisha Mai</cp:lastModifiedBy>
  <cp:revision>2</cp:revision>
  <dcterms:created xsi:type="dcterms:W3CDTF">2025-08-12T16:36:00Z</dcterms:created>
  <dcterms:modified xsi:type="dcterms:W3CDTF">2025-08-12T16:36:00Z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0x010100F3802CE1030B9747A9221DC0C3C79160</vt:lpwstr>
  </property>
  <property fmtid="{D5CDD505-2E9C-101B-9397-08002B2CF9AE}" pid="3" name="GrammarlyDocumentId">
    <vt:lpwstr>96b804f1-0c22-4bea-a474-ea766b0e77bc</vt:lpwstr>
  </property>
</Properties>
</file>